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Pre-enrolment Process</w:t>
      </w:r>
    </w:p>
    <w:p>
      <w:pPr>
        <w:jc w:val="left"/>
      </w:pPr>
      <w:r>
        <w:rPr>
          <w:b/>
          <w:color w:val="595959"/>
          <w:sz w:val="26"/>
        </w:rPr>
        <w:t>Current-state standard operating procedure</w:t>
      </w:r>
    </w:p>
    <w:p>
      <w:pPr>
        <w:spacing w:after="280"/>
      </w:pPr>
      <w:r>
        <w:t>From application submission through to successful enrolment in SELMA/provider systems.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2F8"/>
          </w:tcPr>
          <w:p>
            <w:pPr>
              <w:spacing w:after="60"/>
            </w:pPr>
            <w:r>
              <w:rPr>
                <w:b/>
                <w:sz w:val="19"/>
              </w:rPr>
              <w:t>PROCESS AT A GLANCE</w:t>
              <w:br/>
              <w:t>Application submitted  →  Admissions allocation  →  Initial checks  →  Document &amp; entry assessment  →  CRM data validation  →  Pricing &amp; conditional offer  →  Conditions satisfied  →  Unconditional offer + enrolment agreement  →  Payment &amp; receipt  →  Final workflow check  →  Push to SELMA/provider  →  Enrolled</w:t>
            </w:r>
          </w:p>
        </w:tc>
      </w:tr>
    </w:tbl>
    <w:p>
      <w:pPr>
        <w:pStyle w:val="Heading1"/>
      </w:pPr>
      <w:r>
        <w:t>1. Application received and allocated</w:t>
      </w:r>
    </w:p>
    <w:p>
      <w:pPr>
        <w:pStyle w:val="ListBullet"/>
      </w:pPr>
      <w:r>
        <w:t>Student or agent submits an application through Enroller.</w:t>
      </w:r>
    </w:p>
    <w:p>
      <w:pPr>
        <w:pStyle w:val="ListBullet"/>
      </w:pPr>
      <w:r>
        <w:t>Application appears under Unassigned Application Opportunities.</w:t>
      </w:r>
    </w:p>
    <w:p>
      <w:pPr>
        <w:pStyle w:val="ListBullet"/>
      </w:pPr>
      <w:r>
        <w:t>Application is allocated to an Admissions Officer.</w:t>
      </w:r>
    </w:p>
    <w:p>
      <w:pPr>
        <w:pStyle w:val="ListBullet"/>
      </w:pPr>
      <w:r>
        <w:t>Admissions Officer accesses it under My Unprocessed Application Opportunity.</w:t>
      </w:r>
    </w:p>
    <w:p>
      <w:pPr>
        <w:pStyle w:val="ListBullet"/>
      </w:pPr>
      <w:r>
        <w:t>Processing primarily occurs across two CRM records: Opportunity (application processing, conditions, offers and receipts) and Contact (student personal, passport and core information).</w:t>
      </w:r>
    </w:p>
    <w:p>
      <w:pPr>
        <w:pStyle w:val="Heading1"/>
      </w:pPr>
      <w:r>
        <w:t>2. Complete initial eligibility and risk checks</w:t>
      </w:r>
    </w:p>
    <w:p>
      <w:pPr>
        <w:pStyle w:val="Heading2"/>
      </w:pPr>
      <w:r>
        <w:t>Check 1 — Duplicate application</w:t>
      </w:r>
    </w:p>
    <w:p>
      <w:pPr>
        <w:pStyle w:val="ListBullet"/>
      </w:pPr>
      <w:r>
        <w:t>Search CRM using the student name.</w:t>
      </w:r>
    </w:p>
    <w:p>
      <w:pPr>
        <w:pStyle w:val="ListBullet"/>
      </w:pPr>
      <w:r>
        <w:t>If multiple records exist, compare date of birth, passport number and other identifying information.</w:t>
      </w:r>
    </w:p>
    <w:p>
      <w:pPr>
        <w:pStyle w:val="ListBullet"/>
      </w:pPr>
      <w:r>
        <w:t>If the same application was submitted twice, close the duplicate and retain one application for processing.</w:t>
      </w:r>
    </w:p>
    <w:p>
      <w:pPr>
        <w:pStyle w:val="ListBullet"/>
      </w:pPr>
      <w:r>
        <w:t>If two different agents submitted applications for the same student: if an unconditional offer has already been issued through Agent A, do not process the agent change and close Agent B’s duplicate; if only a conditional offer exists, Agent B’s application may proceed once the change-of-agent process is completed.</w:t>
      </w:r>
    </w:p>
    <w:p>
      <w:pPr>
        <w:pStyle w:val="Heading2"/>
      </w:pPr>
      <w:r>
        <w:t>Check 2 — Agent vs direct application</w:t>
      </w:r>
    </w:p>
    <w:p>
      <w:pPr>
        <w:pStyle w:val="ListBullet"/>
      </w:pPr>
      <w:r>
        <w:t>Agent application: open the agent account and confirm the agent is active. If the status is lapsed or expired, contact the Regional Manager and wait for confirmation before proceeding.</w:t>
      </w:r>
    </w:p>
    <w:p>
      <w:pPr>
        <w:pStyle w:val="ListBullet"/>
      </w:pPr>
      <w:r>
        <w:t>Direct application: check the student’s nationality and the latest Immigration NZ visa-decline rate for that nationality.</w:t>
      </w:r>
    </w:p>
    <w:p>
      <w:pPr>
        <w:pStyle w:val="ListBullet"/>
      </w:pPr>
      <w:r>
        <w:t>If the decline rate is below 20%, continue processing. If it is 20% or higher, refer to the Regional Manager.</w:t>
      </w:r>
    </w:p>
    <w:p>
      <w:pPr>
        <w:pStyle w:val="ListBullet"/>
      </w:pPr>
      <w:r>
        <w:t>The Regional Manager may arrange for an agent to assist. If the decline rate is extremely high (example in the training: 100%), the application would normally be closed.</w:t>
      </w:r>
    </w:p>
    <w:p>
      <w:pPr>
        <w:pStyle w:val="Heading2"/>
      </w:pPr>
      <w:r>
        <w:t>Check 3 — Previous visa refusals</w:t>
      </w:r>
    </w:p>
    <w:p>
      <w:pPr>
        <w:pStyle w:val="ListBullet"/>
      </w:pPr>
      <w:r>
        <w:t>Check whether the student has declared a previous visa refusal and review the decline letter/reason.</w:t>
      </w:r>
    </w:p>
    <w:p>
      <w:pPr>
        <w:pStyle w:val="ListBullet"/>
      </w:pPr>
      <w:r>
        <w:t>General or funding-related issues: application can normally continue where the student has agent assistance.</w:t>
      </w:r>
    </w:p>
    <w:p>
      <w:pPr>
        <w:pStyle w:val="ListBullet"/>
      </w:pPr>
      <w:r>
        <w:t>Serious issues such as fraudulent documentation or criminal concerns: normally decline the application.</w:t>
      </w:r>
    </w:p>
    <w:p>
      <w:pPr>
        <w:pStyle w:val="ListBullet"/>
      </w:pPr>
      <w:r>
        <w:t>Recent New Zealand visa refusal relating to genuine-intent concerns: normally decline the application.</w:t>
      </w:r>
    </w:p>
    <w:p>
      <w:pPr>
        <w:pStyle w:val="Heading1"/>
      </w:pPr>
      <w:r>
        <w:t>3. Prepare application documents</w:t>
      </w:r>
    </w:p>
    <w:p>
      <w:pPr>
        <w:pStyle w:val="ListBullet"/>
      </w:pPr>
      <w:r>
        <w:t>Open Files and review documents supplied by the student/agent.</w:t>
      </w:r>
    </w:p>
    <w:p>
      <w:pPr>
        <w:pStyle w:val="ListBullet"/>
      </w:pPr>
      <w:r>
        <w:t>Rename documents consistently using: Document Name + Student ID.</w:t>
      </w:r>
    </w:p>
    <w:p>
      <w:pPr>
        <w:pStyle w:val="ListBullet"/>
      </w:pPr>
      <w:r>
        <w:t>Leave the CRM-generated enrolment application form as generated.</w:t>
      </w:r>
    </w:p>
    <w:p>
      <w:pPr>
        <w:pStyle w:val="Heading1"/>
      </w:pPr>
      <w:r>
        <w:t>4. Check programme entry requirements</w:t>
      </w:r>
    </w:p>
    <w:p>
      <w:pPr>
        <w:pStyle w:val="ListBullet"/>
      </w:pPr>
      <w:r>
        <w:t>Locate the programme’s approved entry requirements in the relevant provider SharePoint/NZQA approval documentation.</w:t>
      </w:r>
    </w:p>
    <w:p>
      <w:pPr>
        <w:pStyle w:val="ListBullet"/>
      </w:pPr>
      <w:r>
        <w:t>Assess academic requirements, English-language requirements and any programme-specific requirements.</w:t>
      </w:r>
    </w:p>
    <w:p>
      <w:pPr>
        <w:pStyle w:val="ListBullet"/>
      </w:pPr>
      <w:r>
        <w:t>Compare submitted evidence against each requirement.</w:t>
      </w:r>
    </w:p>
    <w:p>
      <w:pPr>
        <w:pStyle w:val="ListBullet"/>
      </w:pPr>
      <w:r>
        <w:t>Where a requirement is outstanding, add it as an offer condition in CRM.</w:t>
      </w:r>
    </w:p>
    <w:p>
      <w:pPr>
        <w:pStyle w:val="Heading1"/>
      </w:pPr>
      <w:r>
        <w:t>5. Verify supporting documentation</w:t>
      </w:r>
    </w:p>
    <w:p>
      <w:pPr>
        <w:pStyle w:val="ListBullet"/>
      </w:pPr>
      <w:r>
        <w:t>Confirm passport and academic documents have been appropriately verified/certified.</w:t>
      </w:r>
    </w:p>
    <w:p>
      <w:pPr>
        <w:pStyle w:val="ListBullet"/>
      </w:pPr>
      <w:r>
        <w:t>Authorised people mentioned in the process include a JP, lawyer, Member of Parliament, notary public or education agent.</w:t>
      </w:r>
    </w:p>
    <w:p>
      <w:pPr>
        <w:pStyle w:val="Heading1"/>
      </w:pPr>
      <w:r>
        <w:t>6. Validate and update the Contact record</w:t>
      </w:r>
    </w:p>
    <w:p>
      <w:pPr>
        <w:pStyle w:val="ListBullet"/>
      </w:pPr>
      <w:r>
        <w:t>Cross-check student information against submitted documents.</w:t>
      </w:r>
    </w:p>
    <w:p>
      <w:pPr>
        <w:pStyle w:val="ListBullet"/>
      </w:pPr>
      <w:r>
        <w:t>Confirm student name matches passport.</w:t>
      </w:r>
    </w:p>
    <w:p>
      <w:pPr>
        <w:pStyle w:val="ListBullet"/>
      </w:pPr>
      <w:r>
        <w:t>Update phone country code.</w:t>
      </w:r>
    </w:p>
    <w:p>
      <w:pPr>
        <w:pStyle w:val="ListBullet"/>
      </w:pPr>
      <w:r>
        <w:t>Populate mandatory blank fields according to the current CRM/SELMA process so data can be pushed successfully.</w:t>
      </w:r>
    </w:p>
    <w:p>
      <w:pPr>
        <w:pStyle w:val="ListBullet"/>
      </w:pPr>
      <w:r>
        <w:t>Confirm onshore/offshore status.</w:t>
      </w:r>
    </w:p>
    <w:p>
      <w:pPr>
        <w:pStyle w:val="ListBullet"/>
      </w:pPr>
      <w:r>
        <w:t>Link emergency contact/stakeholder and confirm their phone number differs from the student’s.</w:t>
      </w:r>
    </w:p>
    <w:p>
      <w:pPr>
        <w:pStyle w:val="ListBullet"/>
      </w:pPr>
      <w:r>
        <w:t>Record relationship to emergency contact.</w:t>
      </w:r>
    </w:p>
    <w:p>
      <w:pPr>
        <w:pStyle w:val="ListBullet"/>
      </w:pPr>
      <w:r>
        <w:t>Check country of birth, citizenship and country of citizenship.</w:t>
      </w:r>
    </w:p>
    <w:p>
      <w:pPr>
        <w:pStyle w:val="ListBullet"/>
      </w:pPr>
      <w:r>
        <w:t>For NZ resident status, select Yes only for NZ resident or permanent resident visa holders; otherwise select No under the current process.</w:t>
      </w:r>
    </w:p>
    <w:p>
      <w:pPr>
        <w:pStyle w:val="ListBullet"/>
      </w:pPr>
      <w:r>
        <w:t>Update passport expiry date.</w:t>
      </w:r>
    </w:p>
    <w:p>
      <w:pPr>
        <w:pStyle w:val="Heading1"/>
      </w:pPr>
      <w:r>
        <w:t>7. Complete the Opportunity record</w:t>
      </w:r>
    </w:p>
    <w:p>
      <w:pPr>
        <w:pStyle w:val="ListBullet"/>
      </w:pPr>
      <w:r>
        <w:t>Complete required secondary-school education fields: Overseas Secondary School for overseas study, or select the relevant NZ school.</w:t>
      </w:r>
    </w:p>
    <w:p>
      <w:pPr>
        <w:pStyle w:val="ListBullet"/>
      </w:pPr>
      <w:r>
        <w:t>Update year of first enrolment and expected year of completion using programme dates.</w:t>
      </w:r>
    </w:p>
    <w:p>
      <w:pPr>
        <w:pStyle w:val="ListBullet"/>
      </w:pPr>
      <w:r>
        <w:t>Record whether the student has studied with the provider previously.</w:t>
      </w:r>
    </w:p>
    <w:p>
      <w:pPr>
        <w:pStyle w:val="ListBullet"/>
      </w:pPr>
      <w:r>
        <w:t>Complete main activity/status, health/disability information and funding source.</w:t>
      </w:r>
    </w:p>
    <w:p>
      <w:pPr>
        <w:pStyle w:val="ListBullet"/>
      </w:pPr>
      <w:r>
        <w:t>Update agent region. This is required to avoid issues when the enrolment is pushed into SELMA.</w:t>
      </w:r>
    </w:p>
    <w:p>
      <w:pPr>
        <w:pStyle w:val="ListBullet"/>
      </w:pPr>
      <w:r>
        <w:t>If a medical condition is declared, request a medical certificate/doctor’s letter where required and send received documentation to the Campus Manager.</w:t>
      </w:r>
    </w:p>
    <w:p>
      <w:pPr>
        <w:pStyle w:val="Heading1"/>
      </w:pPr>
      <w:r>
        <w:t>8. Complete international and application-specific fields</w:t>
      </w:r>
    </w:p>
    <w:p>
      <w:pPr>
        <w:pStyle w:val="ListBullet"/>
      </w:pPr>
      <w:r>
        <w:t>Insurance: default to provider insurance unless the student has arranged their own.</w:t>
      </w:r>
    </w:p>
    <w:p>
      <w:pPr>
        <w:pStyle w:val="ListBullet"/>
      </w:pPr>
      <w:r>
        <w:t>Record English proficiency test results when supplied.</w:t>
      </w:r>
    </w:p>
    <w:p>
      <w:pPr>
        <w:pStyle w:val="ListBullet"/>
      </w:pPr>
      <w:r>
        <w:t>For students under 18, complete homestay/caregiver and airport-transfer information where required.</w:t>
      </w:r>
    </w:p>
    <w:p>
      <w:pPr>
        <w:pStyle w:val="ListBullet"/>
      </w:pPr>
      <w:r>
        <w:t>Update workflow requirements for academic, English, interview, portfolio and any other programme-specific requirements.</w:t>
      </w:r>
    </w:p>
    <w:p>
      <w:pPr>
        <w:pStyle w:val="Heading1"/>
      </w:pPr>
      <w:r>
        <w:t>9. Build programme pricing</w:t>
      </w:r>
    </w:p>
    <w:p>
      <w:pPr>
        <w:pStyle w:val="ListBullet"/>
      </w:pPr>
      <w:r>
        <w:t>Open Product.</w:t>
      </w:r>
    </w:p>
    <w:p>
      <w:pPr>
        <w:pStyle w:val="ListBullet"/>
      </w:pPr>
      <w:r>
        <w:t>Select the correct provider/programme price list and applicable year’s price bundle.</w:t>
      </w:r>
    </w:p>
    <w:p>
      <w:pPr>
        <w:pStyle w:val="ListBullet"/>
      </w:pPr>
      <w:r>
        <w:t>Add the programme/product.</w:t>
      </w:r>
    </w:p>
    <w:p>
      <w:pPr>
        <w:pStyle w:val="ListBullet"/>
      </w:pPr>
      <w:r>
        <w:t>Apply any relevant scholarship.</w:t>
      </w:r>
    </w:p>
    <w:p>
      <w:pPr>
        <w:pStyle w:val="ListBullet"/>
      </w:pPr>
      <w:r>
        <w:t>Add insurance.</w:t>
      </w:r>
    </w:p>
    <w:p>
      <w:pPr>
        <w:pStyle w:val="ListBullet"/>
      </w:pPr>
      <w:r>
        <w:t>Insurance duration rule in the current process: programme finishes January–October → add one extra month after the programme end date; programme finishes November–December → add three extra months.</w:t>
      </w:r>
    </w:p>
    <w:p>
      <w:pPr>
        <w:pStyle w:val="Heading1"/>
      </w:pPr>
      <w:r>
        <w:t>10. Generate and issue conditional offer</w:t>
      </w:r>
    </w:p>
    <w:p>
      <w:pPr>
        <w:pStyle w:val="ListBullet"/>
      </w:pPr>
      <w:r>
        <w:t>Select Create Documents and the appropriate conditional-offer template.</w:t>
      </w:r>
    </w:p>
    <w:p>
      <w:pPr>
        <w:pStyle w:val="ListBullet"/>
      </w:pPr>
      <w:r>
        <w:t>Generate the offer; it will appear in the Opportunity timeline.</w:t>
      </w:r>
    </w:p>
    <w:p>
      <w:pPr>
        <w:pStyle w:val="ListBullet"/>
      </w:pPr>
      <w:r>
        <w:t>Open and QA the generated offer, including student details, programme details, fees and conditions.</w:t>
      </w:r>
    </w:p>
    <w:p>
      <w:pPr>
        <w:pStyle w:val="ListBullet"/>
      </w:pPr>
      <w:r>
        <w:t>Send the offer through Enroller.</w:t>
      </w:r>
    </w:p>
    <w:p>
      <w:pPr>
        <w:pStyle w:val="ListBullet"/>
      </w:pPr>
      <w:r>
        <w:t>Confirm the status updates to Sent.</w:t>
      </w:r>
    </w:p>
    <w:p>
      <w:pPr>
        <w:pStyle w:val="Heading1"/>
      </w:pPr>
      <w:r>
        <w:t>11. Student satisfies conditions</w:t>
      </w:r>
    </w:p>
    <w:p>
      <w:pPr>
        <w:pStyle w:val="ListBullet"/>
      </w:pPr>
      <w:r>
        <w:t>Wait for outstanding evidence such as English results, academic evidence or other offer conditions.</w:t>
      </w:r>
    </w:p>
    <w:p>
      <w:pPr>
        <w:pStyle w:val="ListBullet"/>
      </w:pPr>
      <w:r>
        <w:t>Once all conditions are satisfied, issue the Unconditional Offer and Enrolment Pack/Agreement.</w:t>
      </w:r>
    </w:p>
    <w:p>
      <w:pPr>
        <w:pStyle w:val="ListBullet"/>
      </w:pPr>
      <w:r>
        <w:t>Student signs and returns the enrolment agreement.</w:t>
      </w:r>
    </w:p>
    <w:p>
      <w:pPr>
        <w:pStyle w:val="ListBullet"/>
      </w:pPr>
      <w:r>
        <w:t>Check required pages have been initialled/signed and confirm the signature matches the passport.</w:t>
      </w:r>
    </w:p>
    <w:p>
      <w:pPr>
        <w:pStyle w:val="Heading1"/>
      </w:pPr>
      <w:r>
        <w:t>12. Create invoice and process payment</w:t>
      </w:r>
    </w:p>
    <w:p>
      <w:pPr>
        <w:pStyle w:val="ListBullet"/>
      </w:pPr>
      <w:r>
        <w:t>Create the invoice using the programme start date, end date and appropriate invoice type.</w:t>
      </w:r>
    </w:p>
    <w:p>
      <w:pPr>
        <w:pStyle w:val="ListBullet"/>
      </w:pPr>
      <w:r>
        <w:t>Once payment confirmation is received (for example, Flywire/payment confirmation), open the invoice and add a new payment.</w:t>
      </w:r>
    </w:p>
    <w:p>
      <w:pPr>
        <w:pStyle w:val="ListBullet"/>
      </w:pPr>
      <w:r>
        <w:t>Enter payment date, amount and reference/student ID, then save.</w:t>
      </w:r>
    </w:p>
    <w:p>
      <w:pPr>
        <w:pStyle w:val="Heading1"/>
      </w:pPr>
      <w:r>
        <w:t>13. Handle payment exceptions</w:t>
      </w:r>
    </w:p>
    <w:p>
      <w:pPr>
        <w:pStyle w:val="Heading2"/>
      </w:pPr>
      <w:r>
        <w:t>Outstanding balance under $100</w:t>
      </w:r>
    </w:p>
    <w:p>
      <w:pPr>
        <w:pStyle w:val="ListBullet"/>
      </w:pPr>
      <w:r>
        <w:t>Issue the receipt together with a payment request for the remaining balance.</w:t>
      </w:r>
    </w:p>
    <w:p>
      <w:pPr>
        <w:pStyle w:val="ListBullet"/>
      </w:pPr>
      <w:r>
        <w:t>The enrolment can still be pushed to the provider.</w:t>
      </w:r>
    </w:p>
    <w:p>
      <w:pPr>
        <w:pStyle w:val="Heading2"/>
      </w:pPr>
      <w:r>
        <w:t>Outstanding balance of $100 or more</w:t>
      </w:r>
    </w:p>
    <w:p>
      <w:pPr>
        <w:pStyle w:val="ListBullet"/>
      </w:pPr>
      <w:r>
        <w:t>Do not issue the receipt.</w:t>
      </w:r>
    </w:p>
    <w:p>
      <w:pPr>
        <w:pStyle w:val="ListBullet"/>
      </w:pPr>
      <w:r>
        <w:t>Issue a payment request and wait for the remaining payment before continuing.</w:t>
      </w:r>
    </w:p>
    <w:p>
      <w:pPr>
        <w:pStyle w:val="Heading2"/>
      </w:pPr>
      <w:r>
        <w:t>Outstanding amount is insurance only</w:t>
      </w:r>
    </w:p>
    <w:p>
      <w:pPr>
        <w:pStyle w:val="ListBullet"/>
      </w:pPr>
      <w:r>
        <w:t>The student may have arranged their own insurance.</w:t>
      </w:r>
    </w:p>
    <w:p>
      <w:pPr>
        <w:pStyle w:val="ListBullet"/>
      </w:pPr>
      <w:r>
        <w:t>Request insurance evidence and verify it before continuing.</w:t>
      </w:r>
    </w:p>
    <w:p>
      <w:pPr>
        <w:pStyle w:val="Heading2"/>
      </w:pPr>
      <w:r>
        <w:t>Overpayment</w:t>
      </w:r>
    </w:p>
    <w:p>
      <w:pPr>
        <w:pStyle w:val="ListBullet"/>
      </w:pPr>
      <w:r>
        <w:t>A receipt can still be issued.</w:t>
      </w:r>
    </w:p>
    <w:p>
      <w:pPr>
        <w:pStyle w:val="ListBullet"/>
      </w:pPr>
      <w:r>
        <w:t>The current process states the overpayment is refunded to the student at orientation or after course commencement.</w:t>
      </w:r>
    </w:p>
    <w:p>
      <w:pPr>
        <w:pStyle w:val="Heading1"/>
      </w:pPr>
      <w:r>
        <w:t>14. Issue receipt</w:t>
      </w:r>
    </w:p>
    <w:p>
      <w:pPr>
        <w:pStyle w:val="ListBullet"/>
      </w:pPr>
      <w:r>
        <w:t>Select Create Document and the appropriate receipt template.</w:t>
      </w:r>
    </w:p>
    <w:p>
      <w:pPr>
        <w:pStyle w:val="ListBullet"/>
      </w:pPr>
      <w:r>
        <w:t>Generate the receipt and confirm it appears in the Opportunity timeline.</w:t>
      </w:r>
    </w:p>
    <w:p>
      <w:pPr>
        <w:pStyle w:val="ListBullet"/>
      </w:pPr>
      <w:r>
        <w:t>Categorise/file the receipt correctly and perform a final QA check.</w:t>
      </w:r>
    </w:p>
    <w:p>
      <w:pPr>
        <w:pStyle w:val="ListBullet"/>
      </w:pPr>
      <w:r>
        <w:t>Send the receipt directly to the student or agent by email.</w:t>
      </w:r>
    </w:p>
    <w:p>
      <w:pPr>
        <w:pStyle w:val="ListBullet"/>
      </w:pPr>
      <w:r>
        <w:t>Current process note: receipts are emailed rather than sent through Enroller because of reported delivery issues through Enroller.</w:t>
      </w:r>
    </w:p>
    <w:p>
      <w:pPr>
        <w:pStyle w:val="Heading1"/>
      </w:pPr>
      <w:r>
        <w:t>15. Complete final workflow check</w:t>
      </w:r>
    </w:p>
    <w:p>
      <w:pPr>
        <w:pStyle w:val="ListBullet"/>
      </w:pPr>
      <w:r>
        <w:t>Confirm insurance policy/evidence is updated.</w:t>
      </w:r>
    </w:p>
    <w:p>
      <w:pPr>
        <w:pStyle w:val="ListBullet"/>
      </w:pPr>
      <w:r>
        <w:t>Confirm full payment status.</w:t>
      </w:r>
    </w:p>
    <w:p>
      <w:pPr>
        <w:pStyle w:val="ListBullet"/>
      </w:pPr>
      <w:r>
        <w:t>Record sponsor evidence where applicable.</w:t>
      </w:r>
    </w:p>
    <w:p>
      <w:pPr>
        <w:pStyle w:val="ListBullet"/>
      </w:pPr>
      <w:r>
        <w:t>Confirm receipt has been issued.</w:t>
      </w:r>
    </w:p>
    <w:p>
      <w:pPr>
        <w:pStyle w:val="ListBullet"/>
      </w:pPr>
      <w:r>
        <w:t>Complete all other required workflow fields.</w:t>
      </w:r>
    </w:p>
    <w:p>
      <w:pPr>
        <w:pStyle w:val="Heading1"/>
      </w:pPr>
      <w:r>
        <w:t>16. Push enrolment to provider / SELMA</w:t>
      </w:r>
    </w:p>
    <w:p>
      <w:pPr>
        <w:pStyle w:val="ListBullet"/>
      </w:pPr>
      <w:r>
        <w:t>Select Create Enrolments.</w:t>
      </w:r>
    </w:p>
    <w:p>
      <w:pPr>
        <w:pStyle w:val="ListBullet"/>
      </w:pPr>
      <w:r>
        <w:t>CRM pushes the enrolment data into SELMA/provider system.</w:t>
      </w:r>
    </w:p>
    <w:p>
      <w:pPr>
        <w:pStyle w:val="ListBullet"/>
      </w:pPr>
      <w:r>
        <w:t>Confirm the successful-transfer message appears.</w:t>
      </w:r>
    </w:p>
    <w:p>
      <w:pPr>
        <w:pStyle w:val="ListBullet"/>
      </w:pPr>
      <w:r>
        <w:t>Refresh the application and confirm the status changes to Enrolled.</w:t>
      </w:r>
    </w:p>
    <w:p>
      <w:pPr>
        <w:pStyle w:val="ListBullet"/>
      </w:pPr>
      <w:r>
        <w:t>Pre-enrolment process is complete.</w:t>
      </w:r>
    </w:p>
    <w:p>
      <w:pPr>
        <w:pStyle w:val="Heading1"/>
      </w:pPr>
      <w:r>
        <w:t>17. Key decision rules — quick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120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Current process action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Direct applicant visa decline rate &lt;20%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Continue processing.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Direct applicant visa decline rate ≥20%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Refer to Regional Manager before continuing.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Agent status lapsed/expired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Contact Regional Manager and wait for confirmation.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Duplicate: unconditional offer already issued via Agent A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Close Agent B duplicate; do not process agent change.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Duplicate: conditional offer only via Agent A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Agent B application can proceed after change-of-agent process.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Outstanding balance &lt; $100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Issue receipt + payment request; enrolment can proceed.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Outstanding balance ≥ $100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Payment request only; wait for remaining payment.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Insurance-only outstanding balance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Obtain and verify student’s own insurance evidence.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Programme ends Jan–Oct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Add 1 extra month of insurance.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>
              <w:t>Programme ends Nov–Dec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>
              <w:t>Add 3 extra months of insurance.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Pre-enrolment Process | Current-state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