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DejaVu Sans Condensed" w:hAnsi="DejaVu Sans Condensed" w:cs="DejaVu Sans Condensed"/>
          <w:b/>
          <w:bCs/>
          <w:sz w:val="40"/>
          <w:szCs w:val="40"/>
          <w:highlight w:val="none"/>
        </w:rPr>
      </w:pPr>
      <w:r>
        <w:rPr>
          <w:rFonts w:ascii="DejaVu Sans Condensed" w:hAnsi="DejaVu Sans Condensed" w:eastAsia="DejaVu Sans Condensed" w:cs="DejaVu Sans Condensed"/>
          <w:b/>
          <w:bCs/>
          <w:sz w:val="40"/>
          <w:szCs w:val="40"/>
        </w:rPr>
        <w:t xml:space="preserve">Strukturanalyse &amp; </w:t>
      </w:r>
      <w:r>
        <w:rPr>
          <w:rFonts w:ascii="DejaVu Sans Condensed" w:hAnsi="DejaVu Sans Condensed" w:eastAsia="DejaVu Sans Condensed" w:cs="DejaVu Sans Condensed"/>
          <w:b/>
          <w:bCs/>
          <w:sz w:val="40"/>
          <w:szCs w:val="40"/>
        </w:rPr>
        <w:t xml:space="preserve">Schutzbedarfsfeststellung</w:t>
      </w:r>
      <w:r>
        <w:rPr>
          <w:rFonts w:ascii="DejaVu Sans Condensed" w:hAnsi="DejaVu Sans Condensed" w:eastAsia="DejaVu Sans Condensed" w:cs="DejaVu Sans Condensed"/>
          <w:b/>
          <w:bCs/>
          <w:sz w:val="40"/>
          <w:szCs w:val="40"/>
        </w:rPr>
        <w:t xml:space="preserve"> am eigenen Arbeitsplatz</w:t>
      </w:r>
      <w:r>
        <w:rPr>
          <w:rFonts w:ascii="DejaVu Sans Condensed" w:hAnsi="DejaVu Sans Condensed" w:cs="DejaVu Sans Condensed"/>
          <w:b/>
          <w:bCs/>
          <w:sz w:val="40"/>
          <w:szCs w:val="40"/>
          <w:highlight w:val="none"/>
        </w:rPr>
      </w:r>
      <w:r>
        <w:rPr>
          <w:rFonts w:ascii="DejaVu Sans Condensed" w:hAnsi="DejaVu Sans Condensed" w:cs="DejaVu Sans Condensed"/>
          <w:b/>
          <w:bCs/>
          <w:sz w:val="40"/>
          <w:szCs w:val="40"/>
          <w:highlight w:val="none"/>
        </w:rPr>
      </w:r>
    </w:p>
    <w:tbl>
      <w:tblPr>
        <w:tblStyle w:val="688"/>
        <w:tblW w:w="0" w:type="auto"/>
        <w:tblInd w:w="-284" w:type="dxa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1417"/>
        <w:gridCol w:w="1525"/>
        <w:gridCol w:w="1172"/>
        <w:gridCol w:w="2548"/>
      </w:tblGrid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  <w:t xml:space="preserve">Kuerzel</w:t>
            </w: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  <w:t xml:space="preserve">Anwendungen</w:t>
            </w: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gridSpan w:val="3"/>
            <w:tcBorders/>
            <w:tcW w:w="4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  <w:t xml:space="preserve">Schutzbedarf</w:t>
            </w: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  <w:t xml:space="preserve">Begruendung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>
          <w:trHeight w:val="213"/>
        </w:trPr>
        <w:tc>
          <w:tcPr>
            <w:tcBorders/>
            <w:tcW w:w="1134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843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  <w:t xml:space="preserve">Vertaulichkeit</w:t>
            </w: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  <w:t xml:space="preserve">Verfuegbarkeit</w:t>
            </w: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tcBorders/>
            <w:tcW w:w="11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 w:val="18"/>
                <w:szCs w:val="18"/>
                <w:highlight w:val="none"/>
              </w:rPr>
            </w:pPr>
            <w:r>
              <w:rPr>
                <w:b/>
                <w:bCs/>
                <w:sz w:val="18"/>
                <w:szCs w:val="18"/>
                <w:highlight w:val="none"/>
              </w:rPr>
              <w:t xml:space="preserve">Integritaet</w:t>
            </w:r>
            <w:r>
              <w:rPr>
                <w:b/>
                <w:bCs/>
                <w:sz w:val="18"/>
                <w:szCs w:val="18"/>
                <w:highlight w:val="none"/>
              </w:rPr>
            </w:r>
            <w:r>
              <w:rPr>
                <w:b/>
                <w:bCs/>
                <w:sz w:val="18"/>
                <w:szCs w:val="18"/>
                <w:highlight w:val="none"/>
              </w:rPr>
            </w:r>
          </w:p>
        </w:tc>
        <w:tc>
          <w:tcPr>
            <w:tcBorders/>
            <w:tcW w:w="2548" w:type="dxa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A001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ONLYOFFICE Anwendungen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Werden für die Bearbeitung von Dokumenten verwendet. Beispiel: Textverarbeitung, Tabellenkalkulation.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A002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E-mail clients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4"/>
                <w:szCs w:val="14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Enthalten vertrauliche geschäftliche Korrespondenzen. Beispiel: Versand und Empfang von E-Mails mit sensiblen Daten.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4"/>
                <w:szCs w:val="14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A003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Web-Browser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Zugriff auf wichtige Informationen und Ressourcen. Beispiel: Online-Banking, Recherchen zu sensiblen Themen.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A004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IDE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hoch/normal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Wichtig für die Softwareentwicklung. Beispiel: Schreiben und Debuggen von Code, Zugriff auf Repositories.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A005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Chat Anwendungen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Kommunikation mit Kollegen und Partnern. Beispiel: Austausch von Projektinformationen, Besprechung von vertraulichen Themen.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A006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Web Anwendungen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4"/>
                <w:szCs w:val="14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Wichtig für die Arbeit mit Webdiensten. Beispiel: Zugriff auf Unternehmensportale, Online-Datenbanken.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4"/>
                <w:szCs w:val="14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A007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Meeting Anwendungen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4"/>
                <w:szCs w:val="14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Videokonferenzen und Meetings. Beispiel: Besprechung vertraulicher Geschäftsinformationen während einer Videokonferenz.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4"/>
                <w:szCs w:val="14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A008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Internal Ticketsystem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Nomral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Verwaltung interner Anfragen. Beispiel: Support-Tickets, Fehlerberichte.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L001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Laptop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Sehr 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4"/>
                <w:szCs w:val="14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Hauptarbeitsgerät. Beispiel: Speicherung vertraulicher Daten, Zugriff auf wichtige Unternehmensressourcen.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4"/>
                <w:szCs w:val="14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GP001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Nutzung der Cloud Umgebung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4"/>
                <w:szCs w:val="14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Speicherung und Verarbeitung von Daten in der Cloud. Beispiel: Cloud-Speicher für Unternehmensdokumente, Cloud-basierte Anwendungen.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4"/>
                <w:szCs w:val="14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GP002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IT-Betrieb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Normal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4"/>
                <w:szCs w:val="14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Verwaltung der IT-Infrastruktur. Beispiel: Wartung von Servern, Verwaltung von Netzwerken und Benutzerkonten.</w:t>
            </w:r>
            <w:r>
              <w:rPr>
                <w:b w:val="0"/>
                <w:bCs w:val="0"/>
                <w:sz w:val="16"/>
                <w:szCs w:val="16"/>
                <w:highlight w:val="none"/>
              </w:rPr>
            </w:r>
            <w:r>
              <w:rPr>
                <w:b w:val="0"/>
                <w:bCs w:val="0"/>
                <w:sz w:val="14"/>
                <w:szCs w:val="14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GP002a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Betriebserver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Kritische Server für den Betrieb des Systems. Beispiel: Datenbankserver, Anwendungsserver.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GP002b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Betriebclients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Kritische Clientgeräte. Beispiel: Arbeitsplatzrechner von Mitarbeitern, die auf sensible Daten zugreifen.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  <w:tr>
        <w:trPr/>
        <w:tc>
          <w:tcPr>
            <w:tcBorders/>
            <w:tcW w:w="1134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GP002</w:t>
            </w:r>
            <w:r>
              <w:rPr>
                <w:b w:val="0"/>
                <w:bCs w:val="0"/>
                <w:highlight w:val="none"/>
              </w:rPr>
              <w:t xml:space="preserve">c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Betriebnetze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41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52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117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Sehr hoch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Borders/>
            <w:tcW w:w="2548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sz w:val="18"/>
                <w:szCs w:val="18"/>
                <w:highlight w:val="none"/>
              </w:rPr>
            </w:pP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  <w:t xml:space="preserve">Netzwerk zur Sicherstellung des Betriebs aller Systeme. Beispiel: Unternehmensnetzwerk, das alle Abteilungen und Systeme miteinander verbindet.</w:t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  <w:r>
              <w:rPr>
                <w:b w:val="0"/>
                <w:bCs w:val="0"/>
                <w:sz w:val="18"/>
                <w:szCs w:val="18"/>
                <w:highlight w:val="none"/>
              </w:rPr>
            </w:r>
          </w:p>
        </w:tc>
      </w:tr>
    </w:tbl>
    <w:p>
      <w:pPr>
        <w:pBdr/>
        <w:spacing/>
        <w:ind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Arbeitsplatz </w:t>
      </w:r>
      <w:r>
        <w:rPr>
          <w:b w:val="0"/>
          <w:bCs w:val="0"/>
          <w:highlight w:val="none"/>
        </w:rPr>
        <w:t xml:space="preserve">: </w:t>
      </w:r>
      <w:r>
        <w:rPr>
          <w:b w:val="0"/>
          <w:bCs w:val="0"/>
          <w:highlight w:val="none"/>
        </w:rPr>
        <w:t xml:space="preserve">1x Notebook, </w:t>
      </w:r>
      <w:r>
        <w:rPr>
          <w:b w:val="0"/>
          <w:bCs w:val="0"/>
          <w:highlight w:val="none"/>
        </w:rPr>
        <w:t xml:space="preserve">2x Monitor, 1x Docking station, 1x Maus, 1x Tastatur, 1x Komfortsessel, 1x Tisch.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sz w:val="16"/>
          <w:szCs w:val="16"/>
          <w:highlight w:val="none"/>
        </w:rPr>
      </w:pPr>
      <w:r>
        <w:rPr>
          <w:b w:val="0"/>
          <w:bCs w:val="0"/>
          <w:sz w:val="16"/>
          <w:szCs w:val="16"/>
          <w:highlight w:val="none"/>
        </w:rPr>
        <w:t xml:space="preserve">A</w:t>
      </w:r>
      <w:r>
        <w:rPr>
          <w:b w:val="0"/>
          <w:bCs w:val="0"/>
          <w:sz w:val="16"/>
          <w:szCs w:val="16"/>
          <w:highlight w:val="none"/>
        </w:rPr>
        <w:t xml:space="preserve">lles ist einfach erreichbar, ergonomisch, komfortabel und sicher. Der Laptop hat eine Zwei-Faktor-Authentifizierung (Passwort + Smartwatch/Handy möglich). Der Laptop wurde dem Mitarbeiter vollständig anvertraut, es gibt keine Admin-Passwörter und keine USB</w:t>
      </w:r>
      <w:r>
        <w:rPr>
          <w:b w:val="0"/>
          <w:bCs w:val="0"/>
          <w:sz w:val="16"/>
          <w:szCs w:val="16"/>
          <w:highlight w:val="none"/>
        </w:rPr>
        <w:t xml:space="preserve">-Stick-Verbote. Die Nutzung von VPN für lokale Dienste wird sehr streng kontrolliert. Alle elektronischen Geräte werden jährlich überprüft.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320012</wp:posOffset>
                </wp:positionH>
                <wp:positionV relativeFrom="paragraph">
                  <wp:posOffset>658157</wp:posOffset>
                </wp:positionV>
                <wp:extent cx="3176868" cy="249331"/>
                <wp:effectExtent l="6350" t="6350" r="6350" b="63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176867" cy="2493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Panoramfenster an der Strasse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2528;o:allowoverlap:true;o:allowincell:true;mso-position-horizontal-relative:text;margin-left:25.20pt;mso-position-horizontal:absolute;mso-position-vertical-relative:text;margin-top:51.82pt;mso-position-vertical:absolute;width:250.15pt;height:19.63pt;mso-wrap-distance-left:9.07pt;mso-wrap-distance-top:0.00pt;mso-wrap-distance-right:9.07pt;mso-wrap-distance-bottom:0.00pt;v-text-anchor:middle;visibility:visible;" fillcolor="#C00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Panoramfenster an der Strasse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sz w:val="16"/>
          <w:szCs w:val="16"/>
          <w:highlight w:val="none"/>
        </w:rPr>
      </w:r>
      <w:r>
        <w:rPr>
          <w:b w:val="0"/>
          <w:bCs w:val="0"/>
          <w:sz w:val="16"/>
          <w:szCs w:val="16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2920938</wp:posOffset>
                </wp:positionH>
                <wp:positionV relativeFrom="paragraph">
                  <wp:posOffset>655124</wp:posOffset>
                </wp:positionV>
                <wp:extent cx="1151883" cy="465044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7" flipH="0" flipV="0">
                          <a:off x="0" y="0"/>
                          <a:ext cx="1151881" cy="465043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Frei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type="#_x0000_t1" style="position:absolute;z-index:3072;o:allowoverlap:true;o:allowincell:true;mso-position-horizontal-relative:text;margin-left:230.00pt;mso-position-horizontal:absolute;mso-position-vertical-relative:text;margin-top:51.58pt;mso-position-vertical:absolute;width:90.70pt;height:36.62pt;mso-wrap-distance-left:9.07pt;mso-wrap-distance-top:0.00pt;mso-wrap-distance-right:9.07pt;mso-wrap-distance-bottom:0.00pt;rotation:89;v-text-anchor:middle;visibility:visible;" fillcolor="#FFC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Frei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2119718</wp:posOffset>
                </wp:positionH>
                <wp:positionV relativeFrom="paragraph">
                  <wp:posOffset>311705</wp:posOffset>
                </wp:positionV>
                <wp:extent cx="1086970" cy="414617"/>
                <wp:effectExtent l="6350" t="6350" r="6350" b="63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86970" cy="41461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Frei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3072;o:allowoverlap:true;o:allowincell:true;mso-position-horizontal-relative:text;margin-left:166.91pt;mso-position-horizontal:absolute;mso-position-vertical-relative:text;margin-top:24.54pt;mso-position-vertical:absolute;width:85.59pt;height:32.65pt;mso-wrap-distance-left:9.07pt;mso-wrap-distance-top:0.00pt;mso-wrap-distance-right:9.07pt;mso-wrap-distance-bottom:0.00pt;rotation:0;v-text-anchor:middle;visibility:visible;" fillcolor="#FFC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Frei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1060762</wp:posOffset>
                </wp:positionH>
                <wp:positionV relativeFrom="paragraph">
                  <wp:posOffset>311705</wp:posOffset>
                </wp:positionV>
                <wp:extent cx="1058955" cy="414617"/>
                <wp:effectExtent l="6350" t="6350" r="6350" b="63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1058955" cy="41461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Frei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3072;o:allowoverlap:true;o:allowincell:true;mso-position-horizontal-relative:text;margin-left:83.52pt;mso-position-horizontal:absolute;mso-position-vertical-relative:text;margin-top:24.54pt;mso-position-vertical:absolute;width:83.38pt;height:32.65pt;mso-wrap-distance-left:9.07pt;mso-wrap-distance-top:0.00pt;mso-wrap-distance-right:9.07pt;mso-wrap-distance-bottom:0.00pt;rotation:0;v-text-anchor:middle;visibility:visible;" fillcolor="#FFC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Frei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168254</wp:posOffset>
                </wp:positionH>
                <wp:positionV relativeFrom="paragraph">
                  <wp:posOffset>655125</wp:posOffset>
                </wp:positionV>
                <wp:extent cx="1151883" cy="465044"/>
                <wp:effectExtent l="6350" t="6350" r="6350" b="63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5399977" flipH="0" flipV="0">
                          <a:off x="0" y="0"/>
                          <a:ext cx="1151882" cy="465044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Mein Tisch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3072;o:allowoverlap:true;o:allowincell:true;mso-position-horizontal-relative:text;margin-left:13.25pt;mso-position-horizontal:absolute;mso-position-vertical-relative:text;margin-top:51.58pt;mso-position-vertical:absolute;width:90.70pt;height:36.62pt;mso-wrap-distance-left:9.07pt;mso-wrap-distance-top:0.00pt;mso-wrap-distance-right:9.07pt;mso-wrap-distance-bottom:0.00pt;rotation:89;v-text-anchor:middle;visibility:visible;" fillcolor="#FFC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Mein Tisch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-26208</wp:posOffset>
                </wp:positionH>
                <wp:positionV relativeFrom="paragraph">
                  <wp:posOffset>118404</wp:posOffset>
                </wp:positionV>
                <wp:extent cx="3922059" cy="2448485"/>
                <wp:effectExtent l="6350" t="6350" r="6350" b="63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922058" cy="244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048;o:allowoverlap:true;o:allowincell:true;mso-position-horizontal-relative:text;margin-left:-2.06pt;mso-position-horizontal:absolute;mso-position-vertical-relative:text;margin-top:9.32pt;mso-position-vertical:absolute;width:308.82pt;height:192.79pt;mso-wrap-distance-left:9.07pt;mso-wrap-distance-top:0.00pt;mso-wrap-distance-right:9.07pt;mso-wrap-distance-bottom:0.00pt;visibility:visible;" fillcolor="#5B9BD5" strokecolor="#2D4D6A" strokeweight="1.00pt"/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6624" behindDoc="0" locked="0" layoutInCell="1" allowOverlap="1">
                <wp:simplePos x="0" y="0"/>
                <wp:positionH relativeFrom="column">
                  <wp:posOffset>382806</wp:posOffset>
                </wp:positionH>
                <wp:positionV relativeFrom="paragraph">
                  <wp:posOffset>239050</wp:posOffset>
                </wp:positionV>
                <wp:extent cx="605118" cy="280147"/>
                <wp:effectExtent l="6350" t="6350" r="6350" b="635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05117" cy="280146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Glasstuer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6624;o:allowoverlap:true;o:allowincell:true;mso-position-horizontal-relative:text;margin-left:30.14pt;mso-position-horizontal:absolute;mso-position-vertical-relative:text;margin-top:18.82pt;mso-position-vertical:absolute;width:47.65pt;height:22.06pt;mso-wrap-distance-left:9.07pt;mso-wrap-distance-top:0.00pt;mso-wrap-distance-right:9.07pt;mso-wrap-distance-bottom:0.00pt;v-text-anchor:middle;visibility:visible;" fillcolor="#00B05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Glasstuer</w:t>
                      </w:r>
                      <w:r>
                        <w:rPr>
                          <w:sz w:val="14"/>
                          <w:szCs w:val="14"/>
                        </w:rPr>
                      </w:r>
                      <w:r>
                        <w:rPr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528" behindDoc="0" locked="0" layoutInCell="1" allowOverlap="1">
                <wp:simplePos x="0" y="0"/>
                <wp:positionH relativeFrom="column">
                  <wp:posOffset>1060762</wp:posOffset>
                </wp:positionH>
                <wp:positionV relativeFrom="paragraph">
                  <wp:posOffset>260060</wp:posOffset>
                </wp:positionV>
                <wp:extent cx="2498912" cy="249331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98911" cy="2493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/>
                            </w:pPr>
                            <w:r>
                              <w:t xml:space="preserve">Buerofenster</w:t>
                            </w:r>
                            <w:r/>
                          </w:p>
                        </w:txbxContent>
                      </wps:txbx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2528;o:allowoverlap:true;o:allowincell:true;mso-position-horizontal-relative:text;margin-left:83.52pt;mso-position-horizontal:absolute;mso-position-vertical-relative:text;margin-top:20.48pt;mso-position-vertical:absolute;width:196.76pt;height:19.63pt;mso-wrap-distance-left:9.07pt;mso-wrap-distance-top:0.00pt;mso-wrap-distance-right:9.07pt;mso-wrap-distance-bottom:0.00pt;rotation:0;v-text-anchor:middle;visibility:visible;" fillcolor="#C00000" strokecolor="#2D4D6A" strokeweight="1.00pt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/>
                      </w:pPr>
                      <w:r>
                        <w:t xml:space="preserve">Buerofenster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0416" behindDoc="0" locked="0" layoutInCell="1" allowOverlap="1">
                <wp:simplePos x="0" y="0"/>
                <wp:positionH relativeFrom="column">
                  <wp:posOffset>-63571</wp:posOffset>
                </wp:positionH>
                <wp:positionV relativeFrom="paragraph">
                  <wp:posOffset>207459</wp:posOffset>
                </wp:positionV>
                <wp:extent cx="4747577" cy="3501607"/>
                <wp:effectExtent l="0" t="0" r="0" b="0"/>
                <wp:wrapTopAndBottom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3352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47577" cy="3501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60416;o:allowoverlap:true;o:allowincell:true;mso-position-horizontal-relative:text;margin-left:-5.01pt;mso-position-horizontal:absolute;mso-position-vertical-relative:text;margin-top:16.34pt;mso-position-vertical:absolute;width:373.82pt;height:275.72pt;mso-wrap-distance-left:9.07pt;mso-wrap-distance-top:0.00pt;mso-wrap-distance-right:9.07pt;mso-wrap-distance-bottom:0.00pt;z-index:1;" stroked="false">
                <w10:wrap type="topAndBottom"/>
                <v:imagedata r:id="rId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 Condensed">
    <w:panose1 w:val="020B06060308040202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5">
    <w:name w:val="Title Char"/>
    <w:link w:val="674"/>
    <w:uiPriority w:val="10"/>
    <w:pPr>
      <w:pBdr/>
      <w:spacing/>
      <w:ind/>
    </w:pPr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7">
    <w:name w:val="Subtitle Char"/>
    <w:link w:val="676"/>
    <w:uiPriority w:val="11"/>
    <w:pPr>
      <w:pBdr/>
      <w:spacing/>
      <w:ind/>
    </w:pPr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pBdr/>
      <w:spacing/>
      <w:ind w:right="720" w:left="720"/>
    </w:pPr>
    <w:rPr>
      <w:i/>
    </w:rPr>
  </w:style>
  <w:style w:type="character" w:styleId="679">
    <w:name w:val="Quote Char"/>
    <w:link w:val="678"/>
    <w:uiPriority w:val="29"/>
    <w:pPr>
      <w:pBdr/>
      <w:spacing/>
      <w:ind/>
    </w:pPr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1">
    <w:name w:val="Intense Quote Char"/>
    <w:link w:val="680"/>
    <w:uiPriority w:val="30"/>
    <w:pPr>
      <w:pBdr/>
      <w:spacing/>
      <w:ind/>
    </w:pPr>
    <w:rPr>
      <w:i/>
    </w:rPr>
  </w:style>
  <w:style w:type="paragraph" w:styleId="682">
    <w:name w:val="Header"/>
    <w:basedOn w:val="832"/>
    <w:link w:val="6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Header Char"/>
    <w:link w:val="682"/>
    <w:uiPriority w:val="99"/>
    <w:pPr>
      <w:pBdr/>
      <w:spacing/>
      <w:ind/>
    </w:pPr>
  </w:style>
  <w:style w:type="paragraph" w:styleId="684">
    <w:name w:val="Footer"/>
    <w:basedOn w:val="832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Footer Char"/>
    <w:link w:val="684"/>
    <w:uiPriority w:val="99"/>
    <w:pPr>
      <w:pBdr/>
      <w:spacing/>
      <w:ind/>
    </w:pPr>
  </w:style>
  <w:style w:type="paragraph" w:styleId="686">
    <w:name w:val="Caption"/>
    <w:basedOn w:val="832"/>
    <w:next w:val="832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  <w:pPr>
      <w:pBdr/>
      <w:spacing/>
      <w:ind/>
    </w:pPr>
  </w:style>
  <w:style w:type="table" w:styleId="688">
    <w:name w:val="Table Grid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Table Grid Light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1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2"/>
    <w:basedOn w:val="8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1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2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3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4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5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6"/>
    <w:basedOn w:val="8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1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2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3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4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5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6"/>
    <w:basedOn w:val="8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1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2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3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4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5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6"/>
    <w:basedOn w:val="8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6">
    <w:name w:val="Footnote Text Char"/>
    <w:link w:val="815"/>
    <w:uiPriority w:val="99"/>
    <w:pPr>
      <w:pBdr/>
      <w:spacing/>
      <w:ind/>
    </w:pPr>
    <w:rPr>
      <w:sz w:val="18"/>
    </w:rPr>
  </w:style>
  <w:style w:type="character" w:styleId="817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9">
    <w:name w:val="Endnote Text Char"/>
    <w:link w:val="818"/>
    <w:uiPriority w:val="99"/>
    <w:pPr>
      <w:pBdr/>
      <w:spacing/>
      <w:ind/>
    </w:pPr>
    <w:rPr>
      <w:sz w:val="20"/>
    </w:rPr>
  </w:style>
  <w:style w:type="character" w:styleId="820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pBdr/>
      <w:spacing w:after="57"/>
      <w:ind w:right="0" w:firstLine="0" w:left="0"/>
    </w:pPr>
  </w:style>
  <w:style w:type="paragraph" w:styleId="822">
    <w:name w:val="toc 2"/>
    <w:basedOn w:val="832"/>
    <w:next w:val="832"/>
    <w:uiPriority w:val="39"/>
    <w:unhideWhenUsed/>
    <w:pPr>
      <w:pBdr/>
      <w:spacing w:after="57"/>
      <w:ind w:right="0" w:firstLine="0" w:left="283"/>
    </w:pPr>
  </w:style>
  <w:style w:type="paragraph" w:styleId="823">
    <w:name w:val="toc 3"/>
    <w:basedOn w:val="832"/>
    <w:next w:val="832"/>
    <w:uiPriority w:val="39"/>
    <w:unhideWhenUsed/>
    <w:pPr>
      <w:pBdr/>
      <w:spacing w:after="57"/>
      <w:ind w:right="0" w:firstLine="0" w:left="567"/>
    </w:pPr>
  </w:style>
  <w:style w:type="paragraph" w:styleId="824">
    <w:name w:val="toc 4"/>
    <w:basedOn w:val="832"/>
    <w:next w:val="832"/>
    <w:uiPriority w:val="39"/>
    <w:unhideWhenUsed/>
    <w:pPr>
      <w:pBdr/>
      <w:spacing w:after="57"/>
      <w:ind w:right="0" w:firstLine="0" w:left="850"/>
    </w:pPr>
  </w:style>
  <w:style w:type="paragraph" w:styleId="825">
    <w:name w:val="toc 5"/>
    <w:basedOn w:val="832"/>
    <w:next w:val="832"/>
    <w:uiPriority w:val="39"/>
    <w:unhideWhenUsed/>
    <w:pPr>
      <w:pBdr/>
      <w:spacing w:after="57"/>
      <w:ind w:right="0" w:firstLine="0" w:left="1134"/>
    </w:pPr>
  </w:style>
  <w:style w:type="paragraph" w:styleId="826">
    <w:name w:val="toc 6"/>
    <w:basedOn w:val="832"/>
    <w:next w:val="832"/>
    <w:uiPriority w:val="39"/>
    <w:unhideWhenUsed/>
    <w:pPr>
      <w:pBdr/>
      <w:spacing w:after="57"/>
      <w:ind w:right="0" w:firstLine="0" w:left="1417"/>
    </w:pPr>
  </w:style>
  <w:style w:type="paragraph" w:styleId="827">
    <w:name w:val="toc 7"/>
    <w:basedOn w:val="832"/>
    <w:next w:val="832"/>
    <w:uiPriority w:val="39"/>
    <w:unhideWhenUsed/>
    <w:pPr>
      <w:pBdr/>
      <w:spacing w:after="57"/>
      <w:ind w:right="0" w:firstLine="0" w:left="1701"/>
    </w:pPr>
  </w:style>
  <w:style w:type="paragraph" w:styleId="828">
    <w:name w:val="toc 8"/>
    <w:basedOn w:val="832"/>
    <w:next w:val="832"/>
    <w:uiPriority w:val="39"/>
    <w:unhideWhenUsed/>
    <w:pPr>
      <w:pBdr/>
      <w:spacing w:after="57"/>
      <w:ind w:right="0" w:firstLine="0" w:left="1984"/>
    </w:pPr>
  </w:style>
  <w:style w:type="paragraph" w:styleId="829">
    <w:name w:val="toc 9"/>
    <w:basedOn w:val="832"/>
    <w:next w:val="832"/>
    <w:uiPriority w:val="39"/>
    <w:unhideWhenUsed/>
    <w:pPr>
      <w:pBdr/>
      <w:spacing w:after="57"/>
      <w:ind w:right="0" w:firstLine="0" w:left="2268"/>
    </w:pPr>
  </w:style>
  <w:style w:type="paragraph" w:styleId="830">
    <w:name w:val="TOC Heading"/>
    <w:uiPriority w:val="39"/>
    <w:unhideWhenUsed/>
    <w:pPr>
      <w:pBdr/>
      <w:spacing/>
      <w:ind/>
    </w:pPr>
  </w:style>
  <w:style w:type="paragraph" w:styleId="831">
    <w:name w:val="table of figures"/>
    <w:basedOn w:val="832"/>
    <w:next w:val="832"/>
    <w:uiPriority w:val="99"/>
    <w:unhideWhenUsed/>
    <w:pPr>
      <w:pBdr/>
      <w:spacing w:after="0" w:afterAutospacing="0"/>
      <w:ind/>
    </w:pPr>
  </w:style>
  <w:style w:type="paragraph" w:styleId="832" w:default="1">
    <w:name w:val="Normal"/>
    <w:qFormat/>
    <w:pPr>
      <w:pBdr/>
      <w:spacing/>
      <w:ind/>
    </w:pPr>
  </w:style>
  <w:style w:type="table" w:styleId="8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paragraph" w:styleId="835">
    <w:name w:val="No Spacing"/>
    <w:basedOn w:val="832"/>
    <w:uiPriority w:val="1"/>
    <w:qFormat/>
    <w:pPr>
      <w:pBdr/>
      <w:spacing w:after="0" w:line="240" w:lineRule="auto"/>
      <w:ind/>
    </w:pPr>
  </w:style>
  <w:style w:type="paragraph" w:styleId="836">
    <w:name w:val="List Paragraph"/>
    <w:basedOn w:val="832"/>
    <w:uiPriority w:val="34"/>
    <w:qFormat/>
    <w:pPr>
      <w:pBdr/>
      <w:spacing/>
      <w:ind w:left="720"/>
      <w:contextualSpacing w:val="true"/>
    </w:pPr>
  </w:style>
  <w:style w:type="character" w:styleId="837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2024-05-22T21:23:49Z</dcterms:modified>
</cp:coreProperties>
</file>