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ЗАДАЧИ, ОРГАНИЗАЦИОННАЯ СТРУКТУРА И ПОРЯДОК ФУНКЦИОНИРОВАНИЯ СЕТИ НАБЛЮДЕНИЯ И ЛАБОРАТОРНОГО КОНТРОЛЯ ГРАЖДАНСКОЙ ОБОРОНЫ СУБЪЕКТА РОССИЙСКОЙ ФЕДЕРАЦИИ</w:t>
      </w:r>
    </w:p>
    <w:p>
      <w:r>
        <w:rPr>
          <w:b/>
        </w:rPr>
        <w:t>Рубрика: КОНСПЕКТ СПЕЦИАЛИСТА ПО ГО И ЧС</w:t>
        <w:br/>
      </w:r>
      <w:r>
        <w:t>Автор: Никитин А.В. Первый МГМУ имени И.М. Сеченова</w:t>
        <w:br/>
      </w:r>
    </w:p>
    <w:p/>
    <w:p>
      <w:pPr>
        <w:jc w:val="both"/>
      </w:pPr>
      <w:r>
        <w:rPr>
          <w:b w:val="0"/>
          <w:i w:val="0"/>
        </w:rPr>
        <w:t>Наблюдение и лабораторный контроль по линии гражданской обороны и защиты от чрезвычайных ситуаций в субъекте Российской Федерации (РФ) осуществляются в целях:</w:t>
      </w:r>
    </w:p>
    <w:p>
      <w:pPr>
        <w:jc w:val="both"/>
      </w:pPr>
      <w:r>
        <w:rPr>
          <w:b w:val="0"/>
          <w:i w:val="0"/>
        </w:rPr>
        <w:t>- своевременного обнаружения и индикации радиоактивного, химического, биологического заражения (загрязнения) питьевой воды, пищевого и фуражного сырья, продовольствия, объектов окружающей среды (воздуха, почвы, воды открытых водоемов, растительности и др.) при чрезвычайных ситуациях в мирное и военное время;</w:t>
      </w:r>
    </w:p>
    <w:p>
      <w:pPr>
        <w:jc w:val="both"/>
      </w:pPr>
      <w:r>
        <w:rPr>
          <w:b w:val="0"/>
          <w:i w:val="0"/>
        </w:rPr>
        <w:t xml:space="preserve"> – принятия экстренных мер по защите населения, сельскохозяйственного производства от радиоактивных, отравляющих, аварийно химически опасных веществ (АХОВ), биологических средств – возбудителей инфекционных заболеваний.</w:t>
      </w:r>
    </w:p>
    <w:p>
      <w:pPr>
        <w:jc w:val="both"/>
      </w:pPr>
      <w:r>
        <w:rPr>
          <w:b w:val="0"/>
          <w:i w:val="0"/>
        </w:rPr>
        <w:t>Основными задачами сети наблюдения и лабораторного контроля гражданской обороны (СНЛК ГО) субъекта РФ являются:</w:t>
      </w:r>
    </w:p>
    <w:p>
      <w:pPr>
        <w:jc w:val="both"/>
      </w:pPr>
      <w:r>
        <w:rPr>
          <w:b w:val="0"/>
          <w:i w:val="0"/>
        </w:rPr>
        <w:t>- прогнозирование и оценка радиационной, химической и биологической обстановки в зонах чрезвычайных ситуаций;</w:t>
      </w:r>
    </w:p>
    <w:p>
      <w:pPr>
        <w:jc w:val="both"/>
      </w:pPr>
      <w:r>
        <w:rPr>
          <w:b w:val="0"/>
          <w:i w:val="0"/>
        </w:rPr>
        <w:t>- своевременное выявление и оценка радиационной, химической и биологической обстановки методом наблюдения и лабораторного контроля;</w:t>
      </w:r>
    </w:p>
    <w:p>
      <w:pPr>
        <w:jc w:val="both"/>
      </w:pPr>
      <w:r>
        <w:rPr>
          <w:b w:val="0"/>
          <w:i w:val="0"/>
        </w:rPr>
        <w:t>- участие в определении зон радиоактивного, химического загрязнения и биологического заражения по степени опасности для населения и сельскохозяйственного производства;</w:t>
      </w:r>
    </w:p>
    <w:p>
      <w:pPr>
        <w:jc w:val="both"/>
      </w:pPr>
      <w:r>
        <w:rPr>
          <w:b w:val="0"/>
          <w:i w:val="0"/>
        </w:rPr>
        <w:t>- обобщение и передача данных в соответствующие инстанции о радиационной, химической и биологической обстановке по установленным формам, выработка предложений для принятия экстренных мер по защите населения и территорий.</w:t>
      </w:r>
    </w:p>
    <w:p>
      <w:pPr>
        <w:jc w:val="both"/>
      </w:pPr>
      <w:r>
        <w:rPr>
          <w:b/>
          <w:i w:val="0"/>
        </w:rPr>
        <w:t>Нормативно-правовая база</w:t>
      </w:r>
    </w:p>
    <w:p>
      <w:pPr>
        <w:jc w:val="both"/>
      </w:pPr>
      <w:r>
        <w:rPr>
          <w:b w:val="0"/>
          <w:i w:val="0"/>
        </w:rPr>
        <w:t>Основными нормативно-правовыми и методическими документами по организации деятельности СНЛК  ГО являются:</w:t>
      </w:r>
    </w:p>
    <w:p>
      <w:pPr>
        <w:jc w:val="both"/>
      </w:pPr>
      <w:hyperlink r:id="rId9">
        <w:r>
          <w:rPr>
            <w:color w:val="0563C1"/>
            <w:u w:val="single"/>
          </w:rPr>
          <w:t xml:space="preserve">1. Постановление Правительства РФ от 17.10.2019 N 1333</w:t>
        </w:r>
      </w:hyperlink>
      <w:r>
        <w:rPr>
          <w:b w:val="0"/>
          <w:i w:val="0"/>
        </w:rPr>
        <w:t xml:space="preserve"> (ред. от 28.06.2024) "О порядке функционирования сети наблюдения и лабораторного контроля гражданской обороны и защиты населения".</w:t>
      </w:r>
    </w:p>
    <w:p>
      <w:pPr>
        <w:jc w:val="both"/>
      </w:pPr>
      <w:hyperlink r:id="rId10">
        <w:r>
          <w:rPr>
            <w:color w:val="0563C1"/>
            <w:u w:val="single"/>
          </w:rPr>
          <w:t xml:space="preserve">2. Организационно-методические рекомендации по организации деятельности сети наблюдения и лабораторного контроля гражданской обороны и защиты населения (утв. МЧС России 02.04.2021 N 2-4-71-4-11</w:t>
        </w:r>
      </w:hyperlink>
      <w:r>
        <w:rPr>
          <w:b w:val="0"/>
          <w:i w:val="0"/>
        </w:rPr>
        <w:t>).</w:t>
      </w:r>
    </w:p>
    <w:p>
      <w:pPr>
        <w:jc w:val="both"/>
      </w:pPr>
      <w:r>
        <w:rPr>
          <w:b w:val="0"/>
          <w:i w:val="0"/>
        </w:rPr>
        <w:t>3. Методические рекомендации исполнительным органам субъектов Росс</w:t>
      </w:r>
      <w:hyperlink r:id="rId11">
        <w:r>
          <w:rPr>
            <w:color w:val="0563C1"/>
            <w:u w:val="single"/>
          </w:rPr>
          <w:t xml:space="preserve">ийской Федерации по проведению учений (тренировок) с учреждениями сети наблюдения и лабораторного контроля гражданской обороны и защиты населения (направлены письмом МЧС России от 30.12.2022 N 43-8122-11</w:t>
        </w:r>
      </w:hyperlink>
      <w:r>
        <w:rPr>
          <w:b w:val="0"/>
          <w:i w:val="0"/>
        </w:rPr>
        <w:t>).</w:t>
      </w:r>
    </w:p>
    <w:p>
      <w:pPr>
        <w:jc w:val="both"/>
      </w:pPr>
      <w:r>
        <w:rPr>
          <w:b w:val="0"/>
          <w:i w:val="0"/>
        </w:rPr>
        <w:t>4. Методические рекомендации по организации проведения в субъектах Российской Федерации тренировок по теме: "Обнаружение и обозначение районов, подвергшихся радиоактивному, химическому, биологическому заражению силами СНЛК ГО" с выдачей контрольных проб (утв. МЧС России 01.01.2009).</w:t>
      </w:r>
    </w:p>
    <w:p>
      <w:pPr>
        <w:jc w:val="both"/>
      </w:pPr>
      <w:hyperlink r:id="rId12">
        <w:r>
          <w:rPr>
            <w:color w:val="0563C1"/>
            <w:u w:val="single"/>
          </w:rPr>
          <w:t xml:space="preserve">5. Приказ МЧС России от 07.09.2020 N 657 "О реализации в МЧС России постановления Правительства Российской Федерации от 17.10.2019 N 1333 "</w:t>
        </w:r>
      </w:hyperlink>
      <w:r>
        <w:rPr>
          <w:b w:val="0"/>
          <w:i w:val="0"/>
        </w:rPr>
        <w:t>О порядке функционирования сети наблюдения и лабораторного контроля гражданской обороны и защиты населения".</w:t>
      </w:r>
    </w:p>
    <w:p>
      <w:pPr>
        <w:jc w:val="both"/>
      </w:pPr>
      <w:r>
        <w:rPr>
          <w:b w:val="0"/>
          <w:i w:val="0"/>
        </w:rPr>
        <w:t xml:space="preserve">6. </w:t>
      </w:r>
      <w:hyperlink r:id="rId13">
        <w:r>
          <w:rPr>
            <w:color w:val="0563C1"/>
            <w:u w:val="single"/>
          </w:rPr>
          <w:t xml:space="preserve">ГОСТ Р 42.5.02-2024.</w:t>
        </w:r>
      </w:hyperlink>
      <w:hyperlink r:id="rId13">
        <w:r>
          <w:rPr>
            <w:color w:val="0563C1"/>
            <w:u w:val="single"/>
          </w:rPr>
          <w:t xml:space="preserve"> Гражданская оборона. Сеть наблюдения и лабораторного контроля гражданской обороны и защиты населения. Общие положения (утв. и введен в действие приказом Росстандарта от 06.06.2024 N 705-ст</w:t>
        </w:r>
      </w:hyperlink>
      <w:r>
        <w:rPr>
          <w:b w:val="0"/>
          <w:i w:val="0"/>
        </w:rPr>
        <w:t>).</w:t>
      </w:r>
    </w:p>
    <w:p>
      <w:pPr>
        <w:jc w:val="both"/>
      </w:pPr>
      <w:r>
        <w:rPr>
          <w:b w:val="0"/>
          <w:i w:val="0"/>
        </w:rPr>
        <w:t xml:space="preserve">7. </w:t>
      </w:r>
      <w:hyperlink r:id="rId14">
        <w:r>
          <w:rPr>
            <w:color w:val="0563C1"/>
            <w:u w:val="single"/>
          </w:rPr>
          <w:t xml:space="preserve">ГОСТ Р 42.5.01-2024.</w:t>
        </w:r>
      </w:hyperlink>
      <w:hyperlink r:id="rId14">
        <w:r>
          <w:rPr>
            <w:color w:val="0563C1"/>
            <w:u w:val="single"/>
          </w:rPr>
          <w:t xml:space="preserve"> Гражданская оборона. Сеть наблюдения и лабораторного контроля гражданской обороны и защиты населения. Термины и определения (утв. и введен в действие приказом Росстандарта от 06.06.2024 N 704-ст</w:t>
        </w:r>
      </w:hyperlink>
      <w:r>
        <w:rPr>
          <w:b w:val="0"/>
          <w:i w:val="0"/>
        </w:rPr>
        <w:t>).</w:t>
      </w:r>
    </w:p>
    <w:p>
      <w:pPr>
        <w:jc w:val="both"/>
      </w:pPr>
      <w:r>
        <w:rPr>
          <w:b w:val="0"/>
          <w:i w:val="0"/>
        </w:rPr>
        <w:t>8. Нормативно-правовые и методические документы по организации деятельности сети наблюдения и лабораторного контроля гражданской обороны в субъекте РФ.</w:t>
      </w:r>
    </w:p>
    <w:p>
      <w:pPr>
        <w:jc w:val="both"/>
      </w:pPr>
      <w:r>
        <w:rPr>
          <w:b/>
          <w:i w:val="0"/>
        </w:rPr>
        <w:t>Организационная структура СНЛК ГО субъекта РФ</w:t>
      </w:r>
    </w:p>
    <w:p>
      <w:pPr>
        <w:jc w:val="both"/>
      </w:pPr>
      <w:r>
        <w:rPr>
          <w:b w:val="0"/>
          <w:i w:val="0"/>
        </w:rPr>
        <w:t>Сеть СНЛК ГО субъекта РФ является межведомственной структурой, создаваемой на базе учреждений, отраслевых центров наблюдения и лабораторного контроля, организаций независимо от их правовых форм и формы собственности, функционирующих на территории субъекта РФ, а также постов радиационного, химического и биологического наблюдения объектов экономики, функционирующих в военное время.</w:t>
      </w:r>
    </w:p>
    <w:p>
      <w:pPr>
        <w:jc w:val="both"/>
      </w:pPr>
      <w:r>
        <w:rPr>
          <w:b w:val="0"/>
          <w:i w:val="0"/>
        </w:rPr>
        <w:t>Общее руководство и координацию деятельности СНЛК ГО субъекта РФ осуществляет орган, специально уполномоченный решать задачи гражданской обороны и задачи по предупреждению и ликвидации чрезвычайных ситуаций по субъекту РФ – Главное управление МЧС России по субъекту РФ (далее – ГУ МЧС России по субъекту РФ).</w:t>
      </w:r>
    </w:p>
    <w:p>
      <w:pPr>
        <w:jc w:val="both"/>
      </w:pPr>
      <w:r>
        <w:rPr>
          <w:b w:val="0"/>
          <w:i w:val="0"/>
        </w:rPr>
        <w:t>Основу СНЛК ГО субъекта РФ составляют головные организации (примерный перечень таких организаций представлен в таблице в конце статьи).</w:t>
      </w:r>
    </w:p>
    <w:p>
      <w:pPr>
        <w:jc w:val="both"/>
      </w:pPr>
      <w:r>
        <w:rPr>
          <w:b w:val="0"/>
          <w:i w:val="0"/>
        </w:rPr>
        <w:t>На головные организации СНЛК ГО субъекта РФ возлагается выполнение следующих задач:</w:t>
      </w:r>
    </w:p>
    <w:p>
      <w:pPr>
        <w:jc w:val="both"/>
      </w:pPr>
      <w:r>
        <w:rPr>
          <w:b w:val="0"/>
          <w:i w:val="0"/>
        </w:rPr>
        <w:t>- определение зараженности объектов окружающей среды, продовольствия, пищевого и фуражного сырья, питьевой воды радиоактивными веществами, отравляющими веществами, АХОВ и проведение специфической индикации биологических средств;</w:t>
      </w:r>
    </w:p>
    <w:p>
      <w:pPr>
        <w:jc w:val="both"/>
      </w:pPr>
      <w:r>
        <w:rPr>
          <w:b w:val="0"/>
          <w:i w:val="0"/>
        </w:rPr>
        <w:t>- осуществление сбора, обобщение и анализ информации о радиоактивном, химическом и биологическом заражении (загрязнении) продовольствия, питьевой воды, пищевого и фуражного сырья, объектов окружающей среды при чрезвычайных ситуациях мирного и военного времени;</w:t>
      </w:r>
    </w:p>
    <w:p>
      <w:pPr>
        <w:jc w:val="both"/>
      </w:pPr>
      <w:r>
        <w:rPr>
          <w:b w:val="0"/>
          <w:i w:val="0"/>
        </w:rPr>
        <w:t>- разработка нормативно-методических документов для подчиненных подразделений СНЛК ГО субъекта РФ (при их наличии);</w:t>
      </w:r>
    </w:p>
    <w:p>
      <w:pPr>
        <w:jc w:val="both"/>
      </w:pPr>
      <w:r>
        <w:rPr>
          <w:b w:val="0"/>
          <w:i w:val="0"/>
        </w:rPr>
        <w:t>- осуществление методического руководства подчиненными организациями СНЛК ГО субъекта РФ (при их наличии) при проведении всех видов лабораторных исследований;</w:t>
      </w:r>
    </w:p>
    <w:p>
      <w:pPr>
        <w:jc w:val="both"/>
      </w:pPr>
      <w:r>
        <w:rPr>
          <w:b w:val="0"/>
          <w:i w:val="0"/>
        </w:rPr>
        <w:t>- организация подготовки (переподготовки) специалистов организаций СНЛК ГО субъекта РФ.</w:t>
      </w:r>
    </w:p>
    <w:p>
      <w:pPr>
        <w:jc w:val="both"/>
      </w:pPr>
      <w:r>
        <w:rPr>
          <w:b w:val="0"/>
          <w:i w:val="0"/>
        </w:rPr>
        <w:t>Головные организации являются подразделениями повышенной готовности со сроками приведения в готовность 6 – 8 часов. При эвакуации головные учреждения СНЛК ГО субъекта РФ рассредоточиваются в безопасных районах, которые подготавливаются заблаговременно, в соответствии с документами перевода организаций с мирного на военное время.</w:t>
      </w:r>
    </w:p>
    <w:p>
      <w:pPr>
        <w:jc w:val="both"/>
      </w:pPr>
      <w:r>
        <w:rPr>
          <w:b w:val="0"/>
          <w:i w:val="0"/>
        </w:rPr>
        <w:t>Подготовка (переподготовка) специалистов организаций СНЛК ГО субъекта РФ осуществляется в соответствии с законодательными и иными нормативными правовыми актами Российской Федерации, организационно-методическими указаниями МЧС России по подготовке органов управления, сил гражданской обороны и единой государственной системы предупреждения и ликвидации чрезвычайных ситуаций, а также нормативно-методическими документами головных организаций.</w:t>
      </w:r>
    </w:p>
    <w:p>
      <w:pPr>
        <w:jc w:val="both"/>
      </w:pPr>
      <w:r>
        <w:rPr>
          <w:b w:val="0"/>
          <w:i w:val="0"/>
        </w:rPr>
        <w:t>В целях совершенствования подготовки специалистов организации СНЛК ГО субъекта РФ могут в установленном порядке привлекаться к участию в соответствующих тренировках и учениях, проводимых уполномоченными государственными органами в сфере гражданской обороны и защиты населения и территорий от чрезвычайных ситуаций.</w:t>
      </w:r>
    </w:p>
    <w:p>
      <w:pPr>
        <w:jc w:val="both"/>
      </w:pPr>
      <w:r>
        <w:rPr>
          <w:b w:val="0"/>
          <w:i w:val="0"/>
        </w:rPr>
        <w:t>Функционирование СНЛК ГО субъекта РФ осуществляется в трех режимах:</w:t>
      </w:r>
    </w:p>
    <w:p>
      <w:pPr>
        <w:jc w:val="both"/>
      </w:pPr>
      <w:r>
        <w:rPr>
          <w:b w:val="0"/>
          <w:i w:val="0"/>
        </w:rPr>
        <w:t>- В РЕЖИМЕ ПОВСЕДНЕВНОЙ ДЕЯТЕЛЬНОСТИ (нормальная радиационная, химическая, биологическая обстановка, отсутствие эпидемий, эпизоотий, эпифитотий) наблюдение и лабораторный контроль проводятся в объемах задач, установленных для каждой организации СНЛК ГО субъекта РФ вышестоящим органом (организацией). Информация о результатах наблюдения и лабораторного контроля представляется в установленном порядке в вышестоящий орган (организацию);</w:t>
      </w:r>
    </w:p>
    <w:p>
      <w:pPr>
        <w:jc w:val="both"/>
      </w:pPr>
      <w:r>
        <w:rPr>
          <w:b w:val="0"/>
          <w:i w:val="0"/>
        </w:rPr>
        <w:t xml:space="preserve"> – В РЕЖИМЕ ПОВЫШЕННОЙ ГОТОВНОСТИ (ухудшение производственно-промышленной, радиационной, химической, биологической обстановки, прогноз возможного возникновения чрезвычайной ситуации) наблюдение и лабораторный контроль проводятся в объеме возложенных на СНЛК ГО субъекта РФ задач.</w:t>
      </w:r>
    </w:p>
    <w:p>
      <w:pPr>
        <w:jc w:val="both"/>
      </w:pPr>
      <w:r>
        <w:rPr>
          <w:b w:val="0"/>
          <w:i w:val="0"/>
        </w:rPr>
        <w:t>Информация об ухудшении обстановки, обнаружении в воздухе, почве, воде, растительности, продовольствии, пищевом и фуражном сырье радиоактивных веществ, АХОВ в концентрациях (уровнях радиации), превышающих установленные показатели высокого и экстремально высокого химического и радиоактивного загрязнения окружающей среды, а также отравляющих веществ и биологических средств, о случаях возникновения инфекционных заболеваний, опасных для жизни и здоровья людей, животных и растений, передается организациями СНЛК ГО субъекта РФ в вышестоящий орган (организацию) и одновременно – в федеральное казенное учреждение «Центр управления в кризисных ситуациях Главного управления МЧС России по субъекту РФ».</w:t>
      </w:r>
    </w:p>
    <w:p>
      <w:pPr>
        <w:jc w:val="both"/>
      </w:pPr>
      <w:r>
        <w:rPr>
          <w:b w:val="0"/>
          <w:i w:val="0"/>
        </w:rPr>
        <w:t>Передача информации осуществляется в сроки, не превышающие двух часов с момента обнаружения признаков угрозы возникновения чрезвычайных ситуаций, и далее с периодичностью не более двух часов (если не оговорены иные сроки) в формализованном и неформализованном виде по существующим каналам связи;</w:t>
      </w:r>
    </w:p>
    <w:p>
      <w:pPr>
        <w:jc w:val="both"/>
      </w:pPr>
      <w:r>
        <w:rPr>
          <w:b w:val="0"/>
          <w:i w:val="0"/>
        </w:rPr>
        <w:t>- В РЕЖИМЕ ЧРЕЗВЫЧАЙНОЙ СИТУАЦИИ (возникновение и ликвидация чрезвычайных ситуаций в мирное время, применение противником современных средств поражения в военное время) наблюдение и лабораторный контроль проводятся в объеме возложенных на СНЛК ГО субъекта РФ задач.</w:t>
      </w:r>
    </w:p>
    <w:p>
      <w:pPr>
        <w:jc w:val="both"/>
      </w:pPr>
      <w:r>
        <w:rPr>
          <w:b w:val="0"/>
          <w:i w:val="0"/>
        </w:rPr>
        <w:t>Экстренная информация об обнаружении в воздухе, почве, воде, растительности, продовольствии, пищевом и фуражном сырье радиоактивных веществ, АХОВ в концентрациях (уровнях радиации), превышающих установленные показатели высокого и экстремально высокого химического и радиоактивного загрязнения окружающей среды, а также отравляющих веществ и биологических средств, о массовых вспышках опасных для жизни и здоровья инфекционных заболеваний людей, животных и растений передается организациями СНЛК ГО субъекта РФ в вышестоящий орган (организацию) и одновременно – в федеральное казенное учреждение «Центр управления в кризисных ситуациях Главного управления МЧС России по субъекту РФ».</w:t>
      </w:r>
    </w:p>
    <w:p>
      <w:pPr>
        <w:jc w:val="both"/>
      </w:pPr>
      <w:r>
        <w:rPr>
          <w:b w:val="0"/>
          <w:i w:val="0"/>
        </w:rPr>
        <w:t>Передача экстренной информации (уведомления) осуществляется в формализованном и неформализованном виде по имеющимся каналам связи немедленно с последующим письменным подтверждением (донесением) не позднее двух часов с момента уведомления о возникновении чрезвычайной ситуации. Последующая информация передается с периодичностью не более двух часов (если сроки подобных сообщений не оговорены дополнительно).</w:t>
      </w:r>
    </w:p>
    <w:p>
      <w:pPr>
        <w:jc w:val="both"/>
      </w:pPr>
      <w:r>
        <w:rPr>
          <w:b w:val="0"/>
          <w:i w:val="0"/>
        </w:rPr>
        <w:t>Оснащение организаций СНЛК ГО субъекта РФ лабораторным оборудованием, химическими реактивами, посудой, приборами радиационной, химической и биологической разведки, дозиметрического контроля, средствами индивидуальной защиты и другими техническими средствами для выполнения задач в мирное и военное время производится в установленном порядке в рамках уставной деятельности организаций и (или) государственного задания.</w:t>
      </w:r>
    </w:p>
    <w:p>
      <w:pPr>
        <w:jc w:val="right"/>
      </w:pPr>
      <w:r>
        <w:rPr>
          <w:b w:val="0"/>
          <w:i w:val="0"/>
        </w:rPr>
        <w:t>Утверждается Постановлением</w:t>
      </w:r>
    </w:p>
    <w:p>
      <w:pPr>
        <w:jc w:val="right"/>
      </w:pPr>
      <w:r>
        <w:rPr>
          <w:b w:val="0"/>
          <w:i w:val="0"/>
        </w:rPr>
        <w:t>Правительства субъекта РФ</w:t>
      </w:r>
    </w:p>
    <w:p>
      <w:pPr>
        <w:jc w:val="center"/>
      </w:pPr>
      <w:r>
        <w:rPr>
          <w:b w:val="0"/>
          <w:i w:val="0"/>
        </w:rPr>
        <w:t>ПЕРЕЧЕНЬ ГОЛОВНЫХ ОРГАНИЗАЦИЙ СЕТИ НАБЛЮДЕНИЯ И ЛАБОРАТОРНОГО КОНТРОЛЯ ГРАЖДАНСКОЙ ОБОРОНЫ НА УРОВНЕ СУБЪЕКТА РФ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</w:tcPr>
          <w:p>
            <w:pPr>
              <w:jc w:val="center"/>
            </w:pPr>
            <w:r>
              <w:rPr>
                <w:b/>
                <w:sz w:val="20"/>
              </w:rPr>
              <w:t>N п/п</w:t>
            </w:r>
          </w:p>
        </w:tc>
        <w:tc>
          <w:tcPr>
            <w:tcW w:type="dxa" w:w="9921"/>
          </w:tcPr>
          <w:p>
            <w:pPr>
              <w:jc w:val="center"/>
            </w:pPr>
            <w:r>
              <w:rPr>
                <w:b/>
                <w:sz w:val="20"/>
              </w:rPr>
              <w:t>Наименование организаций</w:t>
            </w:r>
          </w:p>
        </w:tc>
        <w:tc>
          <w:tcPr>
            <w:tcW w:type="dxa" w:w="9921"/>
          </w:tcPr>
          <w:p>
            <w:pPr>
              <w:jc w:val="center"/>
            </w:pPr>
            <w:r>
              <w:rPr>
                <w:b/>
                <w:sz w:val="20"/>
              </w:rPr>
              <w:t>Направление деятельности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Государственное бюджетное учреждение субъекта РФ «Областная (краевая, республиканская) ветеринарная лаборатория»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Определение биологического заражения животных и продуктов питания животного происхождения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Государственное бюджетное учреждение субъекта РФ «Областное (краевое, республиканское) ветеринарное объединение»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Проведение ветеринарной разведки на объектах сельского хозяйства, отбор проб на исследование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Государственное казенное учреждение субъекта РФ «Центр по делам гражданской обороны, пожарной безопасности и чрезвычайным ситуациям»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Радиометрический, химический анализ проб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Государственное унитарное предприятие субъекта РФ «Экология»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Исследование атмосферного воздуха, воды природной и сточной, почв, отходов, токсичности объектов для окружающей природной среды в соответствии с областью аккредитации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Государственное бюджетное учреждение субъекта РФ «Природоохранный центр»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Исследования атмосферного воздуха, воды природной и сточной, почв в соответствии с областью аккредитации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Региональный  филиал федерального государственного унитарного предприятия «Предприятие по обращению с радиоактивными отходами»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Определение радиационной зараженности местности, зданий, сооружений, отбор проб на исследование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Федеральное бюджетное учреждение здравоохранения «Центр гигиены и эпидемиологии в субъекте РФ»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Проведение санитарно-эпидемиологической разведки на границах очагов массового поражения, санитарной экспертизы продовольствия, питьевой воды и пищевого сырья, зараженных радиоактивными веществами и биологическими средствами III и IV степеней патогенности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Федеральное государственное бюджетное учреждение «Региональное управление по гидрометеорологии и мониторингу окружающей среды»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Определение границ радиационно-химического заражения на местности, в воздухе, воде, контроль метеообстановки, отбор проб на исследование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Федеральное государственное бюджетное учреждение «Станция агрохимической службы»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Определение на объектах сельскохозяйственного производства радиационного химического заражения почвы, растений, кормов, отбор проб на исследование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t>10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Филиал федерального государственного бюджетного учреждения «Российский сельскохозяйственный центр» по субъекту РФ</w:t>
            </w:r>
          </w:p>
        </w:tc>
        <w:tc>
          <w:tcPr>
            <w:tcW w:type="dxa" w:w="9921"/>
          </w:tcPr>
          <w:p>
            <w:pPr>
              <w:jc w:val="left"/>
            </w:pPr>
            <w:r>
              <w:t>Определение на объектах сельскохозяйственного производства зараженности почвы, растений, кормов, минеральных и органических удобрений, воды отравляющими веществами, аварийно химически опасными веществами, пестицидами, фитотоксикантами и осуществление их окончательной идентификации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_N8HIn2RDnzU4Q1e04yoDfpDgkszttS_/edit?usp=drivesdk&amp;ouid=107636637261335910720&amp;rtpof=true&amp;sd=true" TargetMode="External"/><Relationship Id="rId10" Type="http://schemas.openxmlformats.org/officeDocument/2006/relationships/hyperlink" Target="https://docs.google.com/document/d/1dWOIB91jKYZ4tv5kxXuHU-LV3Y_jiDBp/edit?usp=drivesdk&amp;ouid=107636637261335910720&amp;rtpof=true&amp;sd=true" TargetMode="External"/><Relationship Id="rId11" Type="http://schemas.openxmlformats.org/officeDocument/2006/relationships/hyperlink" Target="https://docs.google.com/document/d/1oBOgg4tk_aC4F4GLrI2D0WbwruGrVYhn/edit?usp=drivesdk&amp;ouid=107636637261335910720&amp;rtpof=true&amp;sd=true" TargetMode="External"/><Relationship Id="rId12" Type="http://schemas.openxmlformats.org/officeDocument/2006/relationships/hyperlink" Target="https://docs.google.com/document/d/1VrEKhymh2XN6ranQnFsd96Ir4X3nn8ue/edit?usp=drivesdk&amp;ouid=107636637261335910720&amp;rtpof=true&amp;sd=true" TargetMode="External"/><Relationship Id="rId13" Type="http://schemas.openxmlformats.org/officeDocument/2006/relationships/hyperlink" Target="https://docs.google.com/document/d/1SLa6BoxM1vXn5RkGouz-PI2XLw-OVaij/edit?usp=drivesdk&amp;ouid=107636637261335910720&amp;rtpof=true&amp;sd=true" TargetMode="External"/><Relationship Id="rId14" Type="http://schemas.openxmlformats.org/officeDocument/2006/relationships/hyperlink" Target="https://docs.google.com/document/d/1AsZcfgnKKCKDTBSiHxKWH6rtx6_0yLOZ/edit?usp=drivesdk&amp;ouid=107636637261335910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