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ИНФОРМАЦИОННО-СПРАВОЧНЫЙ МАТЕРИАЛ ДЛЯ СПЕЦИАЛИСТОВ ГОЧС</w:t>
      </w:r>
    </w:p>
    <w:p>
      <w:r>
        <w:rPr>
          <w:b/>
        </w:rPr>
        <w:t>Рубрика: СПРАВОЧНАЯ ИНФОРМАЦИЯ</w:t>
        <w:br/>
      </w:r>
      <w:r>
        <w:t>Автор: Капустин И.А. Внештатный эксперт редакции журнала по ГО и ЧС, г. Москва</w:t>
        <w:br/>
      </w:r>
    </w:p>
    <w:p/>
    <w:p>
      <w:pPr>
        <w:jc w:val="both"/>
      </w:pPr>
      <w:r>
        <w:rPr>
          <w:b/>
          <w:i w:val="0"/>
        </w:rPr>
        <w:t>Об особенностях сбора и обмена информацией в области защиты населения и территорий от чрезвычайных ситуаций</w:t>
      </w:r>
    </w:p>
    <w:p>
      <w:pPr>
        <w:jc w:val="both"/>
      </w:pPr>
      <w:r>
        <w:rPr>
          <w:b w:val="0"/>
          <w:i w:val="0"/>
        </w:rPr>
        <w:t xml:space="preserve">Порядок сбора </w:t>
      </w:r>
      <w:hyperlink r:id="rId9">
        <w:r>
          <w:rPr>
            <w:color w:val="0563C1"/>
            <w:u w:val="single"/>
          </w:rPr>
          <w:t xml:space="preserve">и обмена информацией в области защиты населения и территорий от чрезвычайных ситуаций природного и техногенного характера (далее – ЧС) утвержден Постановлением Правительства РФ от 24.03.1997 N 334</w:t>
        </w:r>
      </w:hyperlink>
      <w:r>
        <w:rPr>
          <w:b w:val="0"/>
          <w:i w:val="0"/>
        </w:rPr>
        <w:t xml:space="preserve"> (ред. от 16.06.2022). </w:t>
      </w:r>
    </w:p>
    <w:p>
      <w:pPr>
        <w:jc w:val="both"/>
      </w:pPr>
      <w:r>
        <w:rPr>
          <w:b w:val="0"/>
          <w:i w:val="0"/>
        </w:rPr>
        <w:t>Информация должна содержать сведения о прогнозируемых и возникших ЧС и их последствиях, мерах по защите населения и территорий, ведении аварийно-спасательных и других неотложных работ, силах и средствах, задействованных для ликвидации ЧС, радиационной, химической, медико-биологической, взрывной, пожарной и экологической безопасности на соответствующих объектах и территориях, а также сведения о деятельности федеральных органов исполнительной власти, органов исполнительной власти субъектов РФ, органов местного самоуправления и организаций в области защиты населения и территорий от ЧС, составе и структуре сил и средств, предназначенных для предупреждения и ликвидации ЧС, в том числе сил постоянной готовности, создании, наличии, использовании и восполнении финансовых и материальных ресурсов для ликвидации ЧС.</w:t>
      </w:r>
    </w:p>
    <w:p>
      <w:pPr>
        <w:jc w:val="both"/>
      </w:pPr>
      <w:r>
        <w:rPr>
          <w:b w:val="0"/>
          <w:i w:val="0"/>
        </w:rPr>
        <w:t>Сбор и обмен информацией осуществляются федеральными органами исполнительной власти, органами исполнительной власти субъектов РФ, органами местного самоуправления и организациями в целях принятия мер по предупреждению и ликвидации ЧС, оценки их последствий, информирования и своевременного оповещения населения о прогнозируемых и возникших ЧС, в том числе с использованием автоматизированной информационно-управляющей системы единой государственной системы предупреждения и ликвидации ЧС (РСЧС).</w:t>
      </w:r>
    </w:p>
    <w:p>
      <w:pPr>
        <w:jc w:val="both"/>
      </w:pPr>
      <w:r>
        <w:rPr>
          <w:b w:val="0"/>
          <w:i w:val="0"/>
        </w:rPr>
        <w:t>Сбор и обмен информацией осуществляются через органы повседневного управления РСЧС, а при их отсутствии - через подразделения или должностных лиц, уполномоченных решением соответствующего руководителя федерального органа исполнительной власти, органа исполнительной власти субъекта РФ, органа местного самоуправления или организации.</w:t>
      </w:r>
    </w:p>
    <w:p>
      <w:pPr>
        <w:jc w:val="both"/>
      </w:pPr>
      <w:r>
        <w:rPr>
          <w:b w:val="0"/>
          <w:i w:val="0"/>
        </w:rPr>
        <w:t>Организации представляют информацию в орган местного самоуправления, а также в федеральный орган исполнительной власти, к сфере деятельности которого относится организация. Органы местного самоуправления осуществляют сбор, обработку и обмен информацией на соответствующих территориях и представляют информацию в органы исполнительной власти субъектов РФ. Органы исполнительной власти субъектов РФ осуществляют сбор, обработку и обмен информацией на соответствующих территориях и представляют информацию в МЧС России через его территориальные органы. Кроме того, органы исполнительной власти субъектов РФ представляют информацию о потенциально опасных объектах, расположенных на соответствующих территориях, в федеральный орган исполнительной власти, к сфере деятельности которых относится потенциально опасный объект.</w:t>
      </w:r>
    </w:p>
    <w:p>
      <w:pPr>
        <w:jc w:val="both"/>
      </w:pPr>
      <w:r>
        <w:rPr>
          <w:b w:val="0"/>
          <w:i w:val="0"/>
        </w:rPr>
        <w:t>Федеральные органы исполнительной власти, осуществляют сбор, обработку и обмен информацией в своей сфере деятельности и представляют информацию в МЧС России.</w:t>
      </w:r>
    </w:p>
    <w:p>
      <w:pPr>
        <w:jc w:val="both"/>
      </w:pPr>
      <w:r>
        <w:rPr>
          <w:b w:val="0"/>
          <w:i w:val="0"/>
        </w:rPr>
        <w:t>Федеральные органы исполнительной власти предоставляют на безвозмездной основе Национальному центру управления в кризисных ситуациях МЧС России постоянный доступ к информационным системам, содержащим информацию, в соответствии с заключенными соглашениями между соответствующими федеральными органами исполнительной власти и МЧС России.</w:t>
      </w:r>
    </w:p>
    <w:p>
      <w:pPr>
        <w:jc w:val="both"/>
      </w:pPr>
      <w:r>
        <w:rPr>
          <w:b w:val="0"/>
          <w:i w:val="0"/>
        </w:rPr>
        <w:t>В соглашениях определяются обязанности сторон, состав информации, подлежащей обмену, порядок взаимного использования информационных систем, организации каналов связи, конвергенции ведомственных информационных систем с автоматизированной информационно-управляющей системой единой государственной системы предупреждения и ликвидации ЧС, а также другая информация, необходимая для осуществления сбора и обмена информацией.</w:t>
      </w:r>
    </w:p>
    <w:p>
      <w:pPr>
        <w:jc w:val="both"/>
      </w:pPr>
      <w:r>
        <w:rPr>
          <w:b w:val="0"/>
          <w:i w:val="0"/>
        </w:rPr>
        <w:t>Кроме того, федеральные органы исполнительной власти, которые осуществляют наблюдение и контроль за состоянием окружающей природной среды, обстановкой на потенциально опасных объектах и прилегающих к ним территориях, доводят информацию о прогнозируемых и возникших ЧС до органов местного самоуправления и органов исполнительной власти субъектов РФ.</w:t>
      </w:r>
    </w:p>
    <w:p>
      <w:pPr>
        <w:jc w:val="both"/>
      </w:pPr>
      <w:r>
        <w:rPr>
          <w:b w:val="0"/>
          <w:i w:val="0"/>
        </w:rPr>
        <w:t>Дежурно-диспетчерские службы организаций, находящихся в ведении федеральных органов исполнительной власти, осуществляют сбор, обработку и обмен информацией в своей сфере деятельности на соответствующих объектах и территориях и представляют информацию в соответствующие органы местного самоуправления в порядке, утверждаемом федеральным органом исполнительной власти, в ведении которого находятся соответствующие организации.</w:t>
      </w:r>
    </w:p>
    <w:p>
      <w:pPr>
        <w:jc w:val="both"/>
      </w:pPr>
      <w:r>
        <w:rPr>
          <w:b w:val="0"/>
          <w:i w:val="0"/>
        </w:rPr>
        <w:t>МЧС России:</w:t>
      </w:r>
    </w:p>
    <w:p>
      <w:pPr>
        <w:jc w:val="both"/>
      </w:pPr>
      <w:r>
        <w:rPr>
          <w:b w:val="0"/>
          <w:i w:val="0"/>
        </w:rPr>
        <w:t>- координирует работу по сбору и обмену информацией;</w:t>
      </w:r>
    </w:p>
    <w:p>
      <w:pPr>
        <w:jc w:val="both"/>
      </w:pPr>
      <w:r>
        <w:rPr>
          <w:b w:val="0"/>
          <w:i w:val="0"/>
        </w:rPr>
        <w:t>- осуществляет сбор и обработку информации, представляемой федеральными органами исполнительной власти, органами исполнительной власти субъектов РФ;</w:t>
      </w:r>
    </w:p>
    <w:p>
      <w:pPr>
        <w:jc w:val="both"/>
      </w:pPr>
      <w:r>
        <w:rPr>
          <w:b w:val="0"/>
          <w:i w:val="0"/>
        </w:rPr>
        <w:t>- представляет в Правительство РФ информацию о ЧС федерального, межрегионального и регионального характера и принимаемых мерах по их ликвидации;</w:t>
      </w:r>
    </w:p>
    <w:p>
      <w:pPr>
        <w:jc w:val="both"/>
      </w:pPr>
      <w:r>
        <w:rPr>
          <w:b w:val="0"/>
          <w:i w:val="0"/>
        </w:rPr>
        <w:t>- устанавливает критерии информации о ЧС по согласованию с заинтересованными федеральными органами исполнительной власти;</w:t>
      </w:r>
    </w:p>
    <w:p>
      <w:pPr>
        <w:jc w:val="both"/>
      </w:pPr>
      <w:r>
        <w:rPr>
          <w:b w:val="0"/>
          <w:i w:val="0"/>
        </w:rPr>
        <w:t>- ведет учет ЧС.</w:t>
      </w:r>
    </w:p>
    <w:p>
      <w:pPr>
        <w:jc w:val="both"/>
      </w:pPr>
      <w:r>
        <w:rPr>
          <w:b/>
          <w:i w:val="0"/>
        </w:rPr>
        <w:t>О комплекте индивидуальном медицинском гражданской защиты</w:t>
      </w:r>
    </w:p>
    <w:p>
      <w:pPr>
        <w:jc w:val="both"/>
      </w:pPr>
      <w:r>
        <w:rPr>
          <w:b w:val="0"/>
          <w:i w:val="0"/>
        </w:rPr>
        <w:t>В условиях ЧС первая помощь</w:t>
      </w:r>
      <w:r>
        <w:rPr>
          <w:vertAlign w:val="superscript"/>
        </w:rPr>
        <w:t>33</w:t>
      </w:r>
      <w:r>
        <w:rPr>
          <w:b w:val="0"/>
          <w:i w:val="0"/>
        </w:rPr>
        <w:t xml:space="preserve"> и первичная медико-санитарная помощь имеет особое значение, так как у пострадавших в течение короткого времени могут развиться тяжелые и даже необратимые соматические нарушения, в связи с чем оказание первой помощи должно быть начато незамедлительно. Первая помощь в большинстве случаев занимает относительно небольшой промежуток времени. Однако без ее оказания в этот короткий промежуток времени у пострадавшего возрастают риски развития тяжелых нарушений вплоть до летального исхода. Чем раньше пострадавшему будет оказана первая помощь, а впоследствии при необходимости медицинская помощь, тем больше у него шансов сохранить свою жизнь и здоровье. Профессиональная подготовка спасателей в области оказания первой помощи позволяет уменьшить санитарные потери в условиях ЧС в мирное и военное время.</w:t>
      </w:r>
    </w:p>
    <w:p>
      <w:pPr>
        <w:jc w:val="both"/>
      </w:pPr>
      <w:r>
        <w:rPr>
          <w:b w:val="0"/>
          <w:i w:val="0"/>
        </w:rPr>
        <w:t>Для оказания первой помощи (в порядке само- и взаимопомощи) и первичной медико-санитарной помощи при возникновении ЧС в очагах поражения используется комплект индивид</w:t>
      </w:r>
      <w:hyperlink r:id="rId10">
        <w:r>
          <w:rPr>
            <w:color w:val="0563C1"/>
            <w:u w:val="single"/>
          </w:rPr>
          <w:t xml:space="preserve">уальный медицинский гражданской защиты (далее – КИМГЗ). Требования к комплектации лекарственными препаратами и медицинскими изделиями КИМГЗ утверждены приказом Минздрава России от 28.10.2020 N 1164н</w:t>
        </w:r>
      </w:hyperlink>
      <w:r>
        <w:rPr>
          <w:b w:val="0"/>
          <w:i w:val="0"/>
        </w:rPr>
        <w:t xml:space="preserve"> (ред. от 22.02.2023).</w:t>
      </w:r>
    </w:p>
    <w:p>
      <w:pPr>
        <w:jc w:val="both"/>
      </w:pPr>
      <w:r>
        <w:rPr>
          <w:b w:val="0"/>
          <w:i w:val="0"/>
        </w:rPr>
        <w:t>Для укладки вложений используется сумка, которая представляет собой клапан, основной чехол, в который вставляется карман-подкладка, где предусмотрено четыре отделения для специальной укладки (кровоостанавливающие, дезинфицирующие салфетки, пакет перевязочный индивидуальный, жгут кровоостанавливающий, ротовой воздуховод), а также дополнительный отстегивающийся накладной карман-вкладыш с горизонтальными отделениями для вложения антидотов. Сумка имеет прямоугольную форму, поясной ремень-фиксатор, состоящий из полиэтиленовой стропы и основной ткани с пластмассовыми карабинами, который предусматривает регулировку по объему талии. Клапан сумки полностью закрывает и предохраняет карман-вкладыш от повреждений и механических воздействий, он снабжен застежкой на контактной ленте.</w:t>
      </w:r>
    </w:p>
    <w:p>
      <w:pPr>
        <w:jc w:val="both"/>
      </w:pPr>
      <w:r>
        <w:rPr>
          <w:b w:val="0"/>
          <w:i w:val="0"/>
        </w:rPr>
        <w:t>Требования к комплектации лекарственными препаратами и медиц</w:t>
      </w:r>
      <w:hyperlink r:id="rId10">
        <w:r>
          <w:rPr>
            <w:color w:val="0563C1"/>
            <w:u w:val="single"/>
          </w:rPr>
          <w:t xml:space="preserve">инскими изделиями комплекта индивидуального медицинского гражданской защиты для оказания первичной медико-санитарной помощи и первой помощи утверждены приказом Минздрава России от 28.10.2020 N 1164н</w:t>
        </w:r>
      </w:hyperlink>
      <w:r>
        <w:rPr>
          <w:b w:val="0"/>
          <w:i w:val="0"/>
        </w:rPr>
        <w:t xml:space="preserve"> (ред. от 22.02.2023). Такие требования предъявляются к комплектации лекарственными препаратами и медицинскими изделиями для КИМГЗ, которыми обеспечиваются:</w:t>
      </w:r>
    </w:p>
    <w:p>
      <w:pPr>
        <w:jc w:val="both"/>
      </w:pPr>
      <w:r>
        <w:rPr>
          <w:b w:val="0"/>
          <w:i w:val="0"/>
        </w:rPr>
        <w:t>- личный состав сил гражданской обороны (далее – личный состав формирований), работники особо радиационно опасных и ядерно опасных производств и объектов в области использования атомной энергии и население в целях самостоятельного выполнения ими назначений медицинских работников по профилактике (предупреждению или снижению тяжести последствий) поражений в мирное и военное время;</w:t>
      </w:r>
    </w:p>
    <w:p>
      <w:pPr>
        <w:jc w:val="both"/>
      </w:pPr>
      <w:r>
        <w:rPr>
          <w:b w:val="0"/>
          <w:i w:val="0"/>
        </w:rPr>
        <w:t>- личный состав формирований в целях выполнения ими мероприятий по оказанию первой помощи пострадавшим.</w:t>
      </w:r>
    </w:p>
    <w:p>
      <w:pPr>
        <w:jc w:val="both"/>
      </w:pPr>
      <w:r>
        <w:rPr>
          <w:b w:val="0"/>
          <w:i w:val="0"/>
        </w:rPr>
        <w:t>Различают 10 видов комплектации КИМГЗ в зависимости от целевого назначения:</w:t>
      </w:r>
    </w:p>
    <w:p>
      <w:pPr>
        <w:jc w:val="both"/>
      </w:pPr>
      <w:r>
        <w:rPr>
          <w:b w:val="0"/>
          <w:i w:val="0"/>
        </w:rPr>
        <w:t>1) для КИМГЗ, которыми обеспечивается личный состав формирований, выполняющий задачи в районах возможного химического загрязнения (заражения) фосфорсодержащими органическими соединениями, включая отравляющие вещества;</w:t>
      </w:r>
    </w:p>
    <w:p>
      <w:pPr>
        <w:jc w:val="both"/>
      </w:pPr>
      <w:r>
        <w:rPr>
          <w:b w:val="0"/>
          <w:i w:val="0"/>
        </w:rPr>
        <w:t>2) для КИМГЗ, которыми обеспечивается личный состав формирований, выполняющий задачи в районах возможных пожаров;</w:t>
      </w:r>
    </w:p>
    <w:p>
      <w:pPr>
        <w:jc w:val="both"/>
      </w:pPr>
      <w:r>
        <w:rPr>
          <w:b w:val="0"/>
          <w:i w:val="0"/>
        </w:rPr>
        <w:t>3) для КИМГЗ, которыми обеспечивается личный состав формирований, выполняющий задачи в районах возможного радиоактивного загрязнения (заражения);</w:t>
      </w:r>
    </w:p>
    <w:p>
      <w:pPr>
        <w:jc w:val="both"/>
      </w:pPr>
      <w:r>
        <w:rPr>
          <w:b w:val="0"/>
          <w:i w:val="0"/>
        </w:rPr>
        <w:t>4) для КИМГЗ, которыми обеспечивается личный состав формирований, выполняющий задачи в очагах, в том числе вторичных, радиоактивного загрязнения (заражения);</w:t>
      </w:r>
    </w:p>
    <w:p>
      <w:pPr>
        <w:jc w:val="both"/>
      </w:pPr>
      <w:r>
        <w:rPr>
          <w:b w:val="0"/>
          <w:i w:val="0"/>
        </w:rPr>
        <w:t>5) для КИМГЗ, которыми обеспечивается личный состав формирований, выполняющий задачи в районах возможного биологического загрязнения (заражения);</w:t>
      </w:r>
    </w:p>
    <w:p>
      <w:pPr>
        <w:jc w:val="both"/>
      </w:pPr>
      <w:r>
        <w:rPr>
          <w:b w:val="0"/>
          <w:i w:val="0"/>
        </w:rPr>
        <w:t>6) для КИМГЗ, которыми обеспечивается личный состав формирований при его привлечении для проведения контртеррористической операции и в военное время;</w:t>
      </w:r>
    </w:p>
    <w:p>
      <w:pPr>
        <w:jc w:val="both"/>
      </w:pPr>
      <w:r>
        <w:rPr>
          <w:b w:val="0"/>
          <w:i w:val="0"/>
        </w:rPr>
        <w:t>7) для КИМГЗ, которыми обеспечивается население, проживающее или находящееся в районах возможного радиоактивного загрязнения (заражения);</w:t>
      </w:r>
    </w:p>
    <w:p>
      <w:pPr>
        <w:jc w:val="both"/>
      </w:pPr>
      <w:r>
        <w:rPr>
          <w:b w:val="0"/>
          <w:i w:val="0"/>
        </w:rPr>
        <w:t>8) для КИМГЗ, которыми обеспечивается население, проживающее или находящееся в районах возможного биологического загрязнения (заражения);</w:t>
      </w:r>
    </w:p>
    <w:p>
      <w:pPr>
        <w:jc w:val="both"/>
      </w:pPr>
      <w:r>
        <w:rPr>
          <w:b w:val="0"/>
          <w:i w:val="0"/>
        </w:rPr>
        <w:t>9) для КИМГЗ, которыми обеспечиваются работники особо радиационно-опасных и ядерно опасных производств и объектов;</w:t>
      </w:r>
    </w:p>
    <w:p>
      <w:pPr>
        <w:jc w:val="both"/>
      </w:pPr>
      <w:r>
        <w:rPr>
          <w:b w:val="0"/>
          <w:i w:val="0"/>
        </w:rPr>
        <w:t>10) для КИМГЗ, которыми обеспечивается личный состав формирований в целях выполнения им мероприятий по оказанию первой помощи пострадавшим.</w:t>
      </w:r>
    </w:p>
    <w:p>
      <w:pPr>
        <w:jc w:val="both"/>
      </w:pPr>
      <w:r>
        <w:rPr>
          <w:b w:val="0"/>
          <w:i w:val="0"/>
        </w:rPr>
        <w:t>КИМГЗ подлежит комплектации лекарственными препаратами и медицинскими изделиями, зарегистрированными в установленном порядке. По истечении сроков годности лекарственные препараты для медицинского применения, медицинские изделия, которыми укомплектованы КИМГЗ, подлежат списанию и уничтожению (утилизации) в установленн</w:t>
      </w:r>
      <w:hyperlink r:id="rId10">
        <w:r>
          <w:rPr>
            <w:color w:val="0563C1"/>
            <w:u w:val="single"/>
          </w:rPr>
          <w:t xml:space="preserve">ом порядке. В случае использования или списания и уничтожения (утилизации) лекарственных препаратов и медицинских изделий, предусмотренных требованиями приказа Минздрава России от 28.10.2020 N 1164н</w:t>
        </w:r>
      </w:hyperlink>
      <w:r>
        <w:rPr>
          <w:b w:val="0"/>
          <w:i w:val="0"/>
        </w:rPr>
        <w:t>, КИМГЗ необходимо пополнить.</w:t>
      </w:r>
    </w:p>
    <w:p>
      <w:pPr>
        <w:jc w:val="both"/>
      </w:pPr>
      <w:r>
        <w:rPr>
          <w:b w:val="0"/>
          <w:i w:val="0"/>
        </w:rPr>
        <w:t>Не допускается использование медицинских изделий КИМГЗ в случае нарушения их стерильности. Также не допускается использование, в том числе повторное, лекарственных препаратов для медицинского применения, медицинских изделий, которыми укомплектован КИМГЗ, загрязненных кровью и (или) другими биологическими жидкостями.</w:t>
      </w:r>
    </w:p>
    <w:p/>
    <w:p>
      <w:r>
        <w:rPr>
          <w:b/>
        </w:rPr>
        <w:t>Примечания</w:t>
      </w:r>
    </w:p>
    <w:p>
      <w:r>
        <w:t>33. Первую помощь не надо путать с медицинской помощью, которой она не является.  Под первой помощью понимается комплекс мероприятий и приемов, направленных на поддержание жизни и здоровья, проводимых до оказания медицинской помощи пострадавшим при несчастных случаях, травмах, отравлениях и других состояниях, угрожающих их жизни и здоровью. Порядок оказания первой помощи утвержден приказом Минздрава России от 03.05.2024 N 220н. В целях совершенствования организации подготовки населения и сотрудников экстренных оперативных служб приемам оказания первой помощи разработаны одноименные методические рекомендации, разосланные письмом Минздрава России от 06.06.2024 N 30-2/И/2-10577. О значении первой помощи, в том числе в условиях ЧС, свидетельствует  утверждение распоряжением Правительства РФ от 27.03.2026 N 637-р «Концепции развития первой помощи в Российской Федерации до 2036 года»  (см. одноименную статью, опубликованную в № 6/ 2026  нашего журнала) . В большинстве случаев первая помощь должна заканчиваться передачей пострадавших прибывшей бригаде скорой медицинской помощи или иным медицинским работникам. В условиях ЧС это могут быть спасательные медицинские формирования (службы), санитарные дружины и посты.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IKj7_5hXOKVeDwxN78obAGLzDB1UeeCE/edit?usp=drivesdk&amp;ouid=107636637261335910720&amp;rtpof=true&amp;sd=true" TargetMode="External"/><Relationship Id="rId10" Type="http://schemas.openxmlformats.org/officeDocument/2006/relationships/hyperlink" Target="https://docs.google.com/document/d/1_0xQaONQNTvJBEMSfymhVfjxD-iv-feu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