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ЗАЩИТА ОБЪЕКТОВ КРИТИЧЕСКОЙ ИНФРАСТРУКТУРЫ: НОВЫЕ ТРЕБОВАНИЯ И РЕКОМЕНДАЦИИ ДЛЯ ПРЕДПРИЯТИЙ</w:t>
      </w:r>
    </w:p>
    <w:p>
      <w:r>
        <w:rPr>
          <w:b/>
        </w:rPr>
        <w:t>Рубрика: ЗАЩИТА ОБЪЕКТОВ</w:t>
        <w:br/>
      </w:r>
      <w:r>
        <w:t>Автор: Ларин А.И.&lt;br&gt;Заместитель главного редактора журнала</w:t>
        <w:br/>
      </w:r>
    </w:p>
    <w:p>
      <w:r>
        <w:rPr>
          <w:i/>
        </w:rPr>
        <w:t>В статье рассказывается о новых требованиях к защите объектов критической инфраструктуры, разбираются основные положения Указа Президента РФ от 24.08.2026 N 604 "О мерах по обеспечению безопасности объектов критической инфраструктуры Российской Федерации". Представлены рекомендации собственникам и руководителям объектов по организации их защиты от БПЛА.</w:t>
      </w:r>
    </w:p>
    <w:p/>
    <w:p>
      <w:pPr>
        <w:jc w:val="both"/>
      </w:pPr>
      <w:r>
        <w:rPr>
          <w:b w:val="0"/>
          <w:i w:val="0"/>
        </w:rPr>
        <w:t>В последнее время мы наблюдаем эскалацию массированных атак ВСУ на российские объекты критической инфраструктуры и иные гражданские объекты. Киевский режим выбрал тактику ударов по гражданской инфраструктуре России как инструмент политического давления на население, руководство страны, руководителей регионов, муниципальных образований и предприятий, бизнес-сообщество.</w:t>
      </w:r>
    </w:p>
    <w:p>
      <w:pPr>
        <w:jc w:val="both"/>
      </w:pPr>
      <w:r>
        <w:rPr>
          <w:b w:val="0"/>
          <w:i w:val="0"/>
        </w:rPr>
        <w:t xml:space="preserve">Массированными ракетными и беспилотными ударами по российским объектам Киев и его западные кураторы рассчитывали разрушить целые отрасли российской экономики и подорвать единство общества. Конечной целью было доведение России до развала, заявил президент Владимир Путин в интервью для информационной службы «Вести». Противники России рассчитывали добиться стратегического поражения страны за 40 дней. Для этого планировалось нарастить атаки ракетами и БПЛА по гражданской и логистической инфраструктуре. По словам Президента, они действительно наносят ущерб промышленности и инфраструктуре, однако критического влияния на экономику страны не имеют. «Была публично заявлена цель – разрушение целых отраслей экономики нашей страны, подрыв единства нашего народа и сплоченности российского общества. В общем, цель – это доведение России до развала, о чем они давно мечтают, о чем они постоянно говорят», – сказал Путин. </w:t>
      </w:r>
    </w:p>
    <w:p>
      <w:pPr>
        <w:jc w:val="both"/>
      </w:pPr>
      <w:r>
        <w:rPr>
          <w:b w:val="0"/>
          <w:i w:val="0"/>
        </w:rPr>
        <w:t xml:space="preserve">Добиться поставленных задач противнику не удалось, а итог оказался прямо противоположным ожиданиям. Наращивание ударов оказалось очередной авантюрой киевского режима и его западных кураторов, на которую последовал жесткий ответ. Российские войска продолжат отвечать на такие действия, в том числе ударами по украинской военной и логистической инфраструктуре. </w:t>
      </w:r>
    </w:p>
    <w:p>
      <w:pPr>
        <w:jc w:val="both"/>
      </w:pPr>
      <w:r>
        <w:rPr>
          <w:b w:val="0"/>
          <w:i w:val="0"/>
        </w:rPr>
        <w:t>Обеспечение защиты объектов критической инфраструктуры и иных гражданских объектов требуют продуманных управленческих решений и практических действий на всех уровнях управления гражданской обороной (федеральном, региональном, муниципальном и объектовом). Особое внимание необходимо уделить нормативно-правовому регулированию, техническому оснащению, организационным вопросам, соответствующей подготовке специалистов и взаимодействию всех заинтересованных лиц.</w:t>
      </w:r>
    </w:p>
    <w:p>
      <w:pPr>
        <w:jc w:val="both"/>
      </w:pPr>
      <w:r>
        <w:rPr>
          <w:b/>
          <w:i w:val="0"/>
        </w:rPr>
        <w:t>Указ Президента РФ от 24.08.2026 N 604 "О мерах по обеспечению безопасности объектов критической инфраструктуры Российской Федерации" (далее – Указ N 604)</w:t>
      </w:r>
    </w:p>
    <w:p>
      <w:pPr>
        <w:jc w:val="both"/>
      </w:pPr>
      <w:r>
        <w:rPr>
          <w:b w:val="0"/>
          <w:i w:val="0"/>
        </w:rPr>
        <w:t xml:space="preserve">В связи с нарастанием в период проведения СВО угроз безопасности объектов критической инфраструктуры Президент России подписал Указ N 604, который вводит механизм временного управления объектами критической инфраструктуры, если их владельцы не обеспечивают должную защиту, в том числе от атак беспилотников. Другими словами, документ предусматривает возможность введения временного управления в отношении имущества хозяйствующих субъектов, если они: </w:t>
      </w:r>
    </w:p>
    <w:p>
      <w:pPr>
        <w:jc w:val="both"/>
      </w:pPr>
      <w:r>
        <w:rPr>
          <w:b w:val="0"/>
          <w:i w:val="0"/>
        </w:rPr>
        <w:t>- не приняли или несвоевременно приняли меры по обеспечению безопасности объектов;</w:t>
      </w:r>
    </w:p>
    <w:p>
      <w:pPr>
        <w:jc w:val="both"/>
      </w:pPr>
      <w:r>
        <w:rPr>
          <w:b w:val="0"/>
          <w:i w:val="0"/>
        </w:rPr>
        <w:t>- нарушили требования к безопасности, установленные нормативными актами;</w:t>
      </w:r>
    </w:p>
    <w:p>
      <w:pPr>
        <w:jc w:val="both"/>
      </w:pPr>
      <w:r>
        <w:rPr>
          <w:b w:val="0"/>
          <w:i w:val="0"/>
        </w:rPr>
        <w:t>- создали угрозу безопасности или нормальному функционированию объектов (в том числе при выявлении неэффективности мер против атак БПЛА);</w:t>
      </w:r>
    </w:p>
    <w:p>
      <w:pPr>
        <w:jc w:val="both"/>
      </w:pPr>
      <w:r>
        <w:rPr>
          <w:b w:val="0"/>
          <w:i w:val="0"/>
        </w:rPr>
        <w:t xml:space="preserve">- не восстановили или несвоевременно восстановили функционирование объектов после нарушения. </w:t>
      </w:r>
    </w:p>
    <w:p>
      <w:pPr>
        <w:jc w:val="both"/>
      </w:pPr>
      <w:r>
        <w:rPr>
          <w:b w:val="0"/>
          <w:i w:val="0"/>
        </w:rPr>
        <w:t>Важно подчеркнуть, что временное управление не означает национализацию или смену собственника. Это временная передача государству операционно-управленческих функций на определенный период. Временным управляющим назначается Федеральное агентство по управлению государственным имуществом (Росимущество), если иное лицо не определено решением Правительства.</w:t>
      </w:r>
    </w:p>
    <w:p>
      <w:pPr>
        <w:jc w:val="both"/>
      </w:pPr>
      <w:r>
        <w:rPr>
          <w:b w:val="0"/>
          <w:i w:val="0"/>
        </w:rPr>
        <w:t>Под объектами критической инфраструктуры понимаются:</w:t>
      </w:r>
    </w:p>
    <w:p>
      <w:pPr>
        <w:jc w:val="both"/>
      </w:pPr>
      <w:r>
        <w:rPr>
          <w:b w:val="0"/>
          <w:i w:val="0"/>
        </w:rPr>
        <w:t>- объекты топливно-энергетического комплекса (ТЭК);</w:t>
      </w:r>
    </w:p>
    <w:p>
      <w:pPr>
        <w:jc w:val="both"/>
      </w:pPr>
      <w:r>
        <w:rPr>
          <w:b w:val="0"/>
          <w:i w:val="0"/>
        </w:rPr>
        <w:t>- промышленные объекты;</w:t>
      </w:r>
    </w:p>
    <w:p>
      <w:pPr>
        <w:jc w:val="both"/>
      </w:pPr>
      <w:r>
        <w:rPr>
          <w:b w:val="0"/>
          <w:i w:val="0"/>
        </w:rPr>
        <w:t>- объекты связи;</w:t>
      </w:r>
    </w:p>
    <w:p>
      <w:pPr>
        <w:jc w:val="both"/>
      </w:pPr>
      <w:r>
        <w:rPr>
          <w:b w:val="0"/>
          <w:i w:val="0"/>
        </w:rPr>
        <w:t>- объекты коммунальной, транспортной, логистической инфраструктуры (включая транспортно-логистические комплексы);</w:t>
      </w:r>
    </w:p>
    <w:p>
      <w:pPr>
        <w:jc w:val="both"/>
      </w:pPr>
      <w:r>
        <w:rPr>
          <w:b w:val="0"/>
          <w:i w:val="0"/>
        </w:rPr>
        <w:t>- объекты энергетики (в том числе атомной);</w:t>
      </w:r>
    </w:p>
    <w:p>
      <w:pPr>
        <w:jc w:val="both"/>
      </w:pPr>
      <w:r>
        <w:rPr>
          <w:b w:val="0"/>
          <w:i w:val="0"/>
        </w:rPr>
        <w:t>- объекты жизнеобеспечения;</w:t>
      </w:r>
    </w:p>
    <w:p>
      <w:pPr>
        <w:jc w:val="both"/>
      </w:pPr>
      <w:r>
        <w:rPr>
          <w:b w:val="0"/>
          <w:i w:val="0"/>
        </w:rPr>
        <w:t>- критически важные и потенциально опасные объекты;</w:t>
      </w:r>
    </w:p>
    <w:p>
      <w:pPr>
        <w:jc w:val="both"/>
      </w:pPr>
      <w:r>
        <w:rPr>
          <w:b w:val="0"/>
          <w:i w:val="0"/>
        </w:rPr>
        <w:t xml:space="preserve">- иные объекты, имеющие особо важное значение для безопасности, экономической стабильности РФ и жизнедеятельности населения. </w:t>
      </w:r>
    </w:p>
    <w:p>
      <w:pPr>
        <w:jc w:val="both"/>
      </w:pPr>
      <w:r>
        <w:rPr>
          <w:b w:val="0"/>
          <w:i w:val="0"/>
        </w:rPr>
        <w:t xml:space="preserve">Это означает, что под действие Указа попадают не только крупные промышленные предприятия и НПЗ, но и, например, склады маркетплейсов (Wildberries, Ozon), которые регулярно становятся целями атак БПЛА. </w:t>
      </w:r>
    </w:p>
    <w:p>
      <w:pPr>
        <w:jc w:val="both"/>
      </w:pPr>
      <w:r>
        <w:rPr>
          <w:b w:val="0"/>
          <w:i w:val="0"/>
        </w:rPr>
        <w:t>Указ N 604 переводит защиту объекта в зону личной ответственности собственника. Если владелец объекта не принимает мер безопасности, не выполняет требования уполномоченных органов, создает своим бездействием угрозу, либо не восстанавливает работу объекта после инцидента (в первую очередь речь об атаках беспилотников), правительство вправе ввести временное управление имуществом такого хозяйствующего субъекта. Решение принимается точечно, а не в режиме массового применения, оформляется постановлением правительства. Государство временно берет на себя решение конкретных задач безопасности – восстановление функционирования объекта, устранение уязвимостей, – а не меняет структуру собственности. Собственник утрачивает операционный контроль над активом на срок, который определяется правительством. Прекращение временного управления также требует отдельного решения – то есть механизм обратим, но не автоматически. Финансирование расходов идет из доходов предприятия.</w:t>
      </w:r>
    </w:p>
    <w:p>
      <w:pPr>
        <w:jc w:val="both"/>
      </w:pPr>
      <w:r>
        <w:rPr>
          <w:b w:val="0"/>
          <w:i w:val="0"/>
        </w:rPr>
        <w:t>Похожие модели давно работают на Западе – об этом стоит знать, когда указ называют чем-то исключительным. Во Франции владельцы объектов жизненно важной деятельности несут прямую ответственность за физическую защиту, вплоть до уголовной, и обязаны финансировать ее самостоятельно. В США регуляторы по ряду отраслей – химическая промышленность, нефтегазовые и логистические терминалы – вправе при невыполнении требований по защите просто остановить эксплуатацию объекта.</w:t>
      </w:r>
      <w:r>
        <w:rPr>
          <w:vertAlign w:val="superscript"/>
        </w:rPr>
        <w:t>1</w:t>
      </w:r>
      <w:r>
        <w:rPr>
          <w:b w:val="0"/>
          <w:i w:val="0"/>
        </w:rPr>
        <w:t xml:space="preserve"> Российский вариант – временное управление вместо остановки – по факту мягче большинства зарубежных аналогов.</w:t>
      </w:r>
    </w:p>
    <w:p>
      <w:pPr>
        <w:jc w:val="both"/>
      </w:pPr>
      <w:r>
        <w:rPr>
          <w:b/>
          <w:i w:val="0"/>
        </w:rPr>
        <w:t>Создание, задачи и права подкомиссии по защите критической инфраструктуры</w:t>
      </w:r>
    </w:p>
    <w:p>
      <w:pPr>
        <w:jc w:val="both"/>
      </w:pPr>
      <w:r>
        <w:rPr>
          <w:b w:val="0"/>
          <w:i w:val="0"/>
        </w:rPr>
        <w:t>Для практической реализации Указа N 604 Правительство РФ создало специальную подкомиссию «по обеспечению бесперебойного функционирования отдельных отраслей экономики».</w:t>
      </w:r>
      <w:r>
        <w:rPr>
          <w:vertAlign w:val="superscript"/>
        </w:rPr>
        <w:t>2</w:t>
      </w:r>
      <w:r>
        <w:rPr>
          <w:b w:val="0"/>
          <w:i w:val="0"/>
        </w:rPr>
        <w:t xml:space="preserve"> Она стала частью правительственной комиссии по повышению устойчивости российской экономики в условиях санкций. Председателем подкомиссии назначен первый вице-премьер РФ Денис Мантуров, заместителями председателя: вице-премьер Александр Новак, вице-премьер Дмитрий Григоренко, заместитель начальника Генерального штаба Вооруженных Сил РФ Анатолий Концевой. В состав также вошли министр обороны Андрей Белоусов, министр промышленности и торговли Антон Алиханов, глава Минэкономразвития Максим Решетников и другие руководители федеральных органов. </w:t>
      </w:r>
    </w:p>
    <w:p>
      <w:pPr>
        <w:jc w:val="both"/>
      </w:pPr>
      <w:r>
        <w:rPr>
          <w:b w:val="0"/>
          <w:i w:val="0"/>
        </w:rPr>
        <w:t xml:space="preserve">Основными задачами подкомиссии являются: </w:t>
      </w:r>
    </w:p>
    <w:p>
      <w:pPr>
        <w:jc w:val="both"/>
      </w:pPr>
      <w:r>
        <w:rPr>
          <w:b w:val="0"/>
          <w:i w:val="0"/>
        </w:rPr>
        <w:t xml:space="preserve">- мониторинг финансово-экономической деятельности хозяйствующих субъектов в отдельных отраслях экономики; </w:t>
      </w:r>
    </w:p>
    <w:p>
      <w:pPr>
        <w:jc w:val="both"/>
      </w:pPr>
      <w:r>
        <w:rPr>
          <w:b w:val="0"/>
          <w:i w:val="0"/>
        </w:rPr>
        <w:t xml:space="preserve">- анализ состояния обеспечения безопасности объектов критической инфраструктуры; </w:t>
      </w:r>
    </w:p>
    <w:p>
      <w:pPr>
        <w:jc w:val="both"/>
      </w:pPr>
      <w:r>
        <w:rPr>
          <w:b w:val="0"/>
          <w:i w:val="0"/>
        </w:rPr>
        <w:t xml:space="preserve">- анализ соблюдения требований к безопасности, предусмотренных нормативно-правовыми требованиями и решениями органов, уполномоченных в области обеспечения безопасности объектов критической инфраструктуры; </w:t>
      </w:r>
    </w:p>
    <w:p>
      <w:pPr>
        <w:jc w:val="both"/>
      </w:pPr>
      <w:r>
        <w:rPr>
          <w:b w:val="0"/>
          <w:i w:val="0"/>
        </w:rPr>
        <w:t xml:space="preserve">- выработка мер, направленных на обеспечение нормального функционирования объектов критической инфраструктуры; </w:t>
      </w:r>
    </w:p>
    <w:p>
      <w:pPr>
        <w:jc w:val="both"/>
      </w:pPr>
      <w:r>
        <w:rPr>
          <w:b w:val="0"/>
          <w:i w:val="0"/>
        </w:rPr>
        <w:t xml:space="preserve">- контроль за обеспечением своевременного восстановления функционирования объектов критической инфраструктуры; </w:t>
      </w:r>
    </w:p>
    <w:p>
      <w:pPr>
        <w:jc w:val="both"/>
      </w:pPr>
      <w:r>
        <w:rPr>
          <w:b w:val="0"/>
          <w:i w:val="0"/>
        </w:rPr>
        <w:t xml:space="preserve">- рассмотрение взаимного влияния состояния отдельных отраслей экономики и смежных отраслей в связи с нарушением бесперебойного функционирования одной или нескольких отраслей экономики; </w:t>
      </w:r>
    </w:p>
    <w:p>
      <w:pPr>
        <w:jc w:val="both"/>
      </w:pPr>
      <w:r>
        <w:rPr>
          <w:b w:val="0"/>
          <w:i w:val="0"/>
        </w:rPr>
        <w:t xml:space="preserve">- минимизация негативных социально-экономических последствий, связанных с нарушением функционирования отдельных хозяйствующих субъектов; </w:t>
      </w:r>
    </w:p>
    <w:p>
      <w:pPr>
        <w:jc w:val="both"/>
      </w:pPr>
      <w:r>
        <w:rPr>
          <w:b w:val="0"/>
          <w:i w:val="0"/>
        </w:rPr>
        <w:t>- разработка рекомендаций организациям и иным лицам по обеспечению бесперебойного функционирования организаций в отдельных отраслях экономики.</w:t>
      </w:r>
    </w:p>
    <w:p>
      <w:pPr>
        <w:jc w:val="both"/>
      </w:pPr>
      <w:r>
        <w:rPr>
          <w:b w:val="0"/>
          <w:i w:val="0"/>
        </w:rPr>
        <w:t xml:space="preserve">Подкомиссия имеет право: </w:t>
      </w:r>
    </w:p>
    <w:p>
      <w:pPr>
        <w:jc w:val="both"/>
      </w:pPr>
      <w:r>
        <w:rPr>
          <w:b w:val="0"/>
          <w:i w:val="0"/>
        </w:rPr>
        <w:t xml:space="preserve">- запрашивать в установленном порядке у федеральных органов исполнительной власти, исполнительных органов субъектов РФ, органов местного самоуправления, а также у организаций материалы и информацию по вопросам, отнесенным к компетенции подкомиссии; </w:t>
      </w:r>
    </w:p>
    <w:p>
      <w:pPr>
        <w:jc w:val="both"/>
      </w:pPr>
      <w:r>
        <w:rPr>
          <w:b w:val="0"/>
          <w:i w:val="0"/>
        </w:rPr>
        <w:t xml:space="preserve">- заслушивать на заседаниях подкомиссии представителей федеральных органов исполнительной власти, исполнительных органов субъектов РФ, органов местного самоуправления, заинтересованных организаций и предпринимательского сообщества по вопросам, отнесенным к компетенции подкомиссии, и принимать соответствующие решения; </w:t>
      </w:r>
    </w:p>
    <w:p>
      <w:pPr>
        <w:jc w:val="both"/>
      </w:pPr>
      <w:r>
        <w:rPr>
          <w:b w:val="0"/>
          <w:i w:val="0"/>
        </w:rPr>
        <w:t xml:space="preserve">- заслушивать представителей федеральных органов исполнительной власти и членов подкомиссии по вопросам, касающимся выполнения принимаемых подкомиссией решений; </w:t>
      </w:r>
    </w:p>
    <w:p>
      <w:pPr>
        <w:jc w:val="both"/>
      </w:pPr>
      <w:r>
        <w:rPr>
          <w:b w:val="0"/>
          <w:i w:val="0"/>
        </w:rPr>
        <w:t xml:space="preserve">- привлекать на безвозмездной основе для осуществления аналитических и экспертных работ экспертов – представителей научных организаций; </w:t>
      </w:r>
    </w:p>
    <w:p>
      <w:pPr>
        <w:jc w:val="both"/>
      </w:pPr>
      <w:r>
        <w:rPr>
          <w:b w:val="0"/>
          <w:i w:val="0"/>
        </w:rPr>
        <w:t xml:space="preserve">- рекомендовать организациям и иным лицам принимать решения по изменению порядка, сроков и размера обязательств и проведению иных мероприятий в целях сохранения и повышения бесперебойного функционирования отдельных отраслей экономики; </w:t>
      </w:r>
    </w:p>
    <w:p>
      <w:pPr>
        <w:jc w:val="both"/>
      </w:pPr>
      <w:r>
        <w:rPr>
          <w:b w:val="0"/>
          <w:i w:val="0"/>
        </w:rPr>
        <w:t xml:space="preserve">- обеспечивать взаимодействие с правительственными и межведомственными координационными и совещательными органами, федеральными органами исполнительной власти, исполнительными органами субъектов РФ и организациями. </w:t>
      </w:r>
    </w:p>
    <w:p>
      <w:pPr>
        <w:jc w:val="both"/>
      </w:pPr>
      <w:r>
        <w:rPr>
          <w:b w:val="0"/>
          <w:i w:val="0"/>
        </w:rPr>
        <w:t xml:space="preserve">В рамках подкомиссии в соответствии с решениями подкомиссии формируются штабы по отдельным отраслям экономики. </w:t>
      </w:r>
    </w:p>
    <w:p>
      <w:pPr>
        <w:jc w:val="both"/>
      </w:pPr>
      <w:r>
        <w:rPr>
          <w:b w:val="0"/>
          <w:i w:val="0"/>
        </w:rPr>
        <w:t xml:space="preserve">Таким образом, подкомиссия имеет право запрашивать информацию у органов власти и компаний, давать рекомендации по обеспечению бесперебойной работы объектов, а также контролировать их восстановление после нарушений. </w:t>
      </w:r>
    </w:p>
    <w:p>
      <w:pPr>
        <w:jc w:val="both"/>
      </w:pPr>
      <w:r>
        <w:rPr>
          <w:b w:val="0"/>
          <w:i w:val="0"/>
        </w:rPr>
        <w:t>Денис Мантуров заявил, что механизм временного управления будет применяться точечно – только к тем собственникам, кто не проявляет готовности к совместной работе по защите предприятий. Таким образом, подкомиссия будет контролировать обеспечение безопасности объектов критической инфраструктуры, а также их восстановление.</w:t>
      </w:r>
    </w:p>
    <w:p>
      <w:pPr>
        <w:jc w:val="both"/>
      </w:pPr>
      <w:r>
        <w:rPr>
          <w:b/>
          <w:i w:val="0"/>
        </w:rPr>
        <w:t>Защита на объектовом уровне</w:t>
      </w:r>
    </w:p>
    <w:p>
      <w:pPr>
        <w:jc w:val="both"/>
      </w:pPr>
      <w:r>
        <w:rPr>
          <w:b w:val="0"/>
          <w:i w:val="0"/>
        </w:rPr>
        <w:t>Следует прямо сказать, что многие собственники предпочитают не думать о том, что система ПВО прикрывает не каждый объект, и по территории такой большой страны сплошное непроницаемое поле противовоздушной обороны создать физически невозможно. Руководителям предприятий и муниципальных образований не нужно рассчитывать на то, что противоракетная оборона полностью решит их локальные задачи по защите конкретных объектов. Отсюда и концепция «последнего рубежа»: если беспилотник прошел все внешние эшелоны обнаружения и противодействия, финальным барьером остается именно физическая защита самого объекта – его ограждения, укрытия и дополнительная защита критических узлов, действия персонала. Разница между странами, где это поняли раньше, и странами, где к этому пришли только сейчас, наглядна. В странах Персидского залива после начала ответных ударов со стороны Ирана нефтеперерабатывающие заводы оснастили пассивными системами защиты в течение считанных недель. Отдельные российские частные объекты топливно-энергетического комплекса уже длительное время подвергаются однотипным атакам без изменения ситуации. Это при том, что значительную долю ущерба, по оценкам специалистов, можно было предотвратить относительно недорогими мерами вроде противодроновых сеток.</w:t>
      </w:r>
    </w:p>
    <w:p>
      <w:pPr>
        <w:jc w:val="both"/>
      </w:pPr>
      <w:r>
        <w:rPr>
          <w:b w:val="0"/>
          <w:i w:val="0"/>
        </w:rPr>
        <w:t>Ошибка, которую совершают многие собственники, – отсутствие системного подхода к обеспечению защиты. Защита объекта должна строиться системно как последовательность рубежей, каждый из которых решает свою задачу и подстраховывает соседний.</w:t>
      </w:r>
    </w:p>
    <w:p>
      <w:pPr>
        <w:jc w:val="both"/>
      </w:pPr>
      <w:r>
        <w:rPr>
          <w:b w:val="0"/>
          <w:i w:val="0"/>
        </w:rPr>
        <w:t>Первый рубеж – обнаружение: радиолокационные и оптико-электронные комплексы, которые дают время на реакцию до подлета аппарата. Второй – радиоэлектронное подавление, способное нарушить канал управления беспилотником или сбить его с курса на подступах к объекту. Третий – организационный: регламенты действий охраны и персонала, отработанные схемы эвакуации из зон риска, четкое разграничение зон ответственности дежурных смен. Четвертый, финальный рубеж – физический барьер непосредственно на критических узлах: защитно-улавливающие сети и ограждающие конструкции над резервуарами, трансформаторами, насосными станциями, складами ГСМ, кабельными трассами, диспетчерскими пунктами и местами постоянного пребывания людей.</w:t>
      </w:r>
    </w:p>
    <w:p>
      <w:pPr>
        <w:jc w:val="both"/>
      </w:pPr>
      <w:r>
        <w:rPr>
          <w:b w:val="0"/>
          <w:i w:val="0"/>
        </w:rPr>
        <w:t>Защитно-улавливающие сети работают иначе, чем жесткие металлические преграды: полотно растягивается при ударе, гасит часть кинетической энергии, задерживает или отклоняет траекторию аппарата до контакта с оборудованием. Установка механических преград для защиты – непростая инженерная задача. При установке механической защиты должны проводиться расчеты нагрузки, использоваться испытанные конструкции и материалы, учитываться ремонтопригодность поврежденных секций. При проектировании и установке системы физической защиты необходимо обеспечить отсутствие помех для пожарных проездов, маршрутов персонала и доступа к оборудованию при аварийных работах. Сеть, которая блокирует пожарный расчет, создает новую опасность вместо того, чтобы устранять старую.</w:t>
      </w:r>
    </w:p>
    <w:p>
      <w:pPr>
        <w:jc w:val="both"/>
      </w:pPr>
      <w:r>
        <w:rPr>
          <w:b/>
          <w:i w:val="0"/>
        </w:rPr>
        <w:t>Гражданская оборона на предприятии: то, о чем иногда забывают</w:t>
      </w:r>
    </w:p>
    <w:p>
      <w:pPr>
        <w:jc w:val="both"/>
      </w:pPr>
      <w:r>
        <w:rPr>
          <w:b w:val="0"/>
          <w:i w:val="0"/>
        </w:rPr>
        <w:t>Указ N 604 говорит о защите от актов незаконного вмешательства и атак беспилотников, но действует он в правовом поле, где работают нормы закона о гражданской обороне 1998 года. Для категорированных организаций это означает обязанность планировать мероприятия по гражданской обороне, поддерживать в готовности нештатные формирования, обеспечивать укрытие персонала и, где это предусмотрено, иметь защитные сооружения ГО. Именно это направление работы по защите предприятия чаще всего выпадает из фокуса, когда разговор сводится исключительно к антидроновым технологиям.</w:t>
      </w:r>
    </w:p>
    <w:p>
      <w:pPr>
        <w:jc w:val="both"/>
      </w:pPr>
      <w:r>
        <w:rPr>
          <w:b w:val="0"/>
          <w:i w:val="0"/>
        </w:rPr>
        <w:t>Гражданская оборона и антитеррористическая защищенность – не конкурирующие, а дополняющие друг друга контуры. Первая отвечает за защиту людей и сохранение работоспособности объекта в условиях военных угроз в целом, вторая – за конкретное противодействие атакам на инфраструктуру, в том числе при помощи БПЛА. Предприятие, которое выстроило одно направление и проигнорировало другое, остается уязвимым ровно там, где не ждет удара.</w:t>
      </w:r>
    </w:p>
    <w:p>
      <w:pPr>
        <w:jc w:val="both"/>
      </w:pPr>
      <w:r>
        <w:rPr>
          <w:b/>
          <w:i w:val="0"/>
        </w:rPr>
        <w:t>Типичные ошибки собственников</w:t>
      </w:r>
    </w:p>
    <w:p>
      <w:pPr>
        <w:jc w:val="both"/>
      </w:pPr>
      <w:r>
        <w:rPr>
          <w:b w:val="0"/>
          <w:i w:val="0"/>
        </w:rPr>
        <w:t>Практика показывает, что подавляющее большинство нарушений сводится к нескольким повторяющимся сценариям. Собственник откладывает категорирование объекта по ГО и антитеррористической защищенности, потому что процедура кажется бюрократической и не приносящей немедленной пользы. Паспорт безопасности составляется формально, без реальной инженерной оценки уязвимых зон – просто чтобы был документ на случай проверки. Отсутствует системный подход: например, принимается решение только по системам обнаружения без должного выстраивания остальных компонентов защиты, что может создать ложное ощущение закрытого вопроса. Отсутствует план восстановления функционирования объекта после инцидента, хотя именно несвоевременное восстановление прямо названо в Указе N 604 как основание для временного управления. Наконец, руководство предприятия годами полагается на внешнюю защиту – государственную систему ПВО или соседние объекты, – не инвестируя в собственный последний рубеж.</w:t>
      </w:r>
    </w:p>
    <w:p>
      <w:pPr>
        <w:jc w:val="both"/>
      </w:pPr>
      <w:r>
        <w:rPr>
          <w:b/>
          <w:i w:val="0"/>
        </w:rPr>
        <w:t>Практический перечень мероприятий по защите объекта</w:t>
      </w:r>
    </w:p>
    <w:p>
      <w:pPr>
        <w:jc w:val="both"/>
      </w:pPr>
      <w:r>
        <w:rPr>
          <w:b w:val="0"/>
          <w:i w:val="0"/>
        </w:rPr>
        <w:t>Ниже – минимальный набор действий, который стоит выполнить предприятию, отнесенному или потенциально относимому к критической инфраструктуре, вне зависимости от отрасли:</w:t>
      </w:r>
    </w:p>
    <w:p>
      <w:pPr>
        <w:jc w:val="both"/>
      </w:pPr>
      <w:r>
        <w:rPr>
          <w:b w:val="0"/>
          <w:i w:val="0"/>
        </w:rPr>
        <w:t>- провести категорирование объекта по гражданской обороне и, отдельно, по антитеррористической защищенности – с привлечением компетентной организации, а не формально;</w:t>
      </w:r>
    </w:p>
    <w:p>
      <w:pPr>
        <w:jc w:val="both"/>
      </w:pPr>
      <w:r>
        <w:rPr>
          <w:b w:val="0"/>
          <w:i w:val="0"/>
        </w:rPr>
        <w:t>- составить или актуализировать паспорт безопасности с реальной инженерной оценкой рисков, а не переписыванием шаблона;</w:t>
      </w:r>
    </w:p>
    <w:p>
      <w:pPr>
        <w:jc w:val="both"/>
      </w:pPr>
      <w:r>
        <w:rPr>
          <w:b w:val="0"/>
          <w:i w:val="0"/>
        </w:rPr>
        <w:t>- выделить критические зоны объекта – резервуары, трансформаторы, насосные, склады ГСМ, кабельные трассы, диспетчерские, пункты охраны, места постоянного пребывания людей – и зафиксировать эту информацию во внутренней документации;</w:t>
      </w:r>
    </w:p>
    <w:p>
      <w:pPr>
        <w:jc w:val="both"/>
      </w:pPr>
      <w:r>
        <w:rPr>
          <w:b w:val="0"/>
          <w:i w:val="0"/>
        </w:rPr>
        <w:t>- выстроить системную эшелонированную защиту: обнаружение, радиоэлектронное противодействие, организационные регламенты охраны, физический барьер на критических узлах;</w:t>
      </w:r>
    </w:p>
    <w:p>
      <w:pPr>
        <w:jc w:val="both"/>
      </w:pPr>
      <w:r>
        <w:rPr>
          <w:b w:val="0"/>
          <w:i w:val="0"/>
        </w:rPr>
        <w:t>- проверить, что защитные конструкции не блокируют пожарные проезды, аварийные маршруты и доступ к оборудованию для ремонта и обслуживания;</w:t>
      </w:r>
    </w:p>
    <w:p>
      <w:pPr>
        <w:jc w:val="both"/>
      </w:pPr>
      <w:r>
        <w:rPr>
          <w:b w:val="0"/>
          <w:i w:val="0"/>
        </w:rPr>
        <w:t>- сформировать и поддерживать в готовности нештатные формирования по гражданской обороне, если объект имеет категорию по ГО;</w:t>
      </w:r>
    </w:p>
    <w:p>
      <w:pPr>
        <w:jc w:val="both"/>
      </w:pPr>
      <w:r>
        <w:rPr>
          <w:b w:val="0"/>
          <w:i w:val="0"/>
        </w:rPr>
        <w:t>- разработать и регулярно тестировать план восстановления функционирования объекта после инцидента, включая резервирование критических узлов;</w:t>
      </w:r>
    </w:p>
    <w:p>
      <w:pPr>
        <w:jc w:val="both"/>
      </w:pPr>
      <w:r>
        <w:rPr>
          <w:b w:val="0"/>
          <w:i w:val="0"/>
        </w:rPr>
        <w:t>- назначить ответственное лицо за взаимодействие с уполномоченными органами и отраслевыми штабами подкомиссии по устойчивости отраслей экономики;</w:t>
      </w:r>
    </w:p>
    <w:p>
      <w:pPr>
        <w:jc w:val="both"/>
      </w:pPr>
      <w:r>
        <w:rPr>
          <w:b w:val="0"/>
          <w:i w:val="0"/>
        </w:rPr>
        <w:t>- документировать все выполненные мероприятия – акты обследования, договоры на монтаж, испытания конструкций, – чтобы иметь доказательную базу своевременности принятых мер;</w:t>
      </w:r>
    </w:p>
    <w:p>
      <w:pPr>
        <w:jc w:val="both"/>
      </w:pPr>
      <w:r>
        <w:rPr>
          <w:b w:val="0"/>
          <w:i w:val="0"/>
        </w:rPr>
        <w:t>- проводить учения и инструктажи персонала по действиям при атаке беспилотника или ином акте незаконного вмешательства.</w:t>
      </w:r>
    </w:p>
    <w:p>
      <w:pPr>
        <w:jc w:val="both"/>
      </w:pPr>
      <w:r>
        <w:rPr>
          <w:b w:val="0"/>
          <w:i w:val="0"/>
        </w:rPr>
        <w:t>Собственнику, который выполнил этот перечень и может подтвердить его документально, Указ N 604 не угрожает ничем. Риск возникает там, где меры защиты существуют только на бумаге и/или на словах.</w:t>
      </w:r>
    </w:p>
    <w:p>
      <w:pPr>
        <w:jc w:val="both"/>
      </w:pPr>
      <w:r>
        <w:rPr>
          <w:b/>
          <w:i w:val="0"/>
        </w:rPr>
        <w:t>Чек-лист для собственников объектов критической инфраструктуры: что необходимо проверить прямо сейчас</w:t>
      </w:r>
    </w:p>
    <w:p>
      <w:pPr>
        <w:jc w:val="both"/>
      </w:pPr>
      <w:r>
        <w:rPr>
          <w:b w:val="0"/>
          <w:i w:val="0"/>
        </w:rPr>
        <w:t xml:space="preserve">1. Проведен ли аудит уязвимости объекта от БПЛА? </w:t>
      </w:r>
    </w:p>
    <w:p>
      <w:pPr>
        <w:jc w:val="both"/>
      </w:pPr>
      <w:r>
        <w:rPr>
          <w:b w:val="0"/>
          <w:i w:val="0"/>
        </w:rPr>
        <w:t xml:space="preserve">2. Разработана ли модель угроз и паспорт безопасности? </w:t>
      </w:r>
    </w:p>
    <w:p>
      <w:pPr>
        <w:jc w:val="both"/>
      </w:pPr>
      <w:r>
        <w:rPr>
          <w:b w:val="0"/>
          <w:i w:val="0"/>
        </w:rPr>
        <w:t xml:space="preserve">3. Установлены ли средства обнаружения (РЛС, камеры, акустика)? </w:t>
      </w:r>
    </w:p>
    <w:p>
      <w:pPr>
        <w:jc w:val="both"/>
      </w:pPr>
      <w:r>
        <w:rPr>
          <w:b w:val="0"/>
          <w:i w:val="0"/>
        </w:rPr>
        <w:t xml:space="preserve">4. Есть ли активные средства подавления (РЭБ, дроны-перехватчики)? </w:t>
      </w:r>
    </w:p>
    <w:p>
      <w:pPr>
        <w:jc w:val="both"/>
      </w:pPr>
      <w:r>
        <w:rPr>
          <w:b w:val="0"/>
          <w:i w:val="0"/>
        </w:rPr>
        <w:t xml:space="preserve">5. Защищены ли критические элементы пассивными средствами (сетки, экраны)? </w:t>
      </w:r>
    </w:p>
    <w:p>
      <w:pPr>
        <w:jc w:val="both"/>
      </w:pPr>
      <w:r>
        <w:rPr>
          <w:b w:val="0"/>
          <w:i w:val="0"/>
        </w:rPr>
        <w:t xml:space="preserve">6. Интегрированы ли все системы защиты с единым управлением? </w:t>
      </w:r>
    </w:p>
    <w:p>
      <w:pPr>
        <w:jc w:val="both"/>
      </w:pPr>
      <w:r>
        <w:rPr>
          <w:b w:val="0"/>
          <w:i w:val="0"/>
        </w:rPr>
        <w:t xml:space="preserve">7. Обучен ли персонал и проводятся ли регулярные учения? </w:t>
      </w:r>
    </w:p>
    <w:p>
      <w:pPr>
        <w:jc w:val="both"/>
      </w:pPr>
      <w:r>
        <w:rPr>
          <w:b w:val="0"/>
          <w:i w:val="0"/>
        </w:rPr>
        <w:t xml:space="preserve">8. Имеется ли вся необходимая документация, получены ли все необходимые согласования и разрешения? </w:t>
      </w:r>
    </w:p>
    <w:p>
      <w:pPr>
        <w:jc w:val="both"/>
      </w:pPr>
      <w:r>
        <w:rPr>
          <w:b w:val="0"/>
          <w:i w:val="0"/>
        </w:rPr>
        <w:t xml:space="preserve">Если хотя бы один пункт не выполнен — объект может быть признан недостаточно защищенным, что создает риск введения временного управления по Указу N 604. </w:t>
      </w:r>
    </w:p>
    <w:p>
      <w:pPr>
        <w:jc w:val="both"/>
      </w:pPr>
      <w:r>
        <w:rPr>
          <w:b/>
          <w:i w:val="0"/>
        </w:rPr>
        <w:t>Выводы</w:t>
      </w:r>
    </w:p>
    <w:p>
      <w:pPr>
        <w:jc w:val="both"/>
      </w:pPr>
      <w:r>
        <w:rPr>
          <w:b w:val="0"/>
          <w:i w:val="0"/>
        </w:rPr>
        <w:t xml:space="preserve">Указ Президента РФ N 604 и создание правительственной подкомиссии под руководством Дениса Мантурова сигнализируют о переходе к более жесткому контролю за защитой объектов критической инфраструктуры. Государство больше не готово мириться с ситуацией, когда владельцы предприятий игнорируют угрозу БПЛА и перекладывают ответственность на государственные системы ПВО. </w:t>
      </w:r>
    </w:p>
    <w:p>
      <w:pPr>
        <w:jc w:val="both"/>
      </w:pPr>
      <w:r>
        <w:rPr>
          <w:b w:val="0"/>
          <w:i w:val="0"/>
        </w:rPr>
        <w:t>Для собственников это означает:</w:t>
      </w:r>
    </w:p>
    <w:p>
      <w:pPr>
        <w:jc w:val="both"/>
      </w:pPr>
      <w:r>
        <w:rPr>
          <w:b w:val="0"/>
          <w:i w:val="0"/>
        </w:rPr>
        <w:t>- необходимость немедленного аудита и приведения мер защиты в соответствие с установленными требованиями;</w:t>
      </w:r>
    </w:p>
    <w:p>
      <w:pPr>
        <w:jc w:val="both"/>
      </w:pPr>
      <w:r>
        <w:rPr>
          <w:b w:val="0"/>
          <w:i w:val="0"/>
        </w:rPr>
        <w:t>- дополнительные расходы на организацию многоуровневой обороны (обнаружение + активное подавление + пассивная защита);</w:t>
      </w:r>
    </w:p>
    <w:p>
      <w:pPr>
        <w:jc w:val="both"/>
      </w:pPr>
      <w:r>
        <w:rPr>
          <w:b w:val="0"/>
          <w:i w:val="0"/>
        </w:rPr>
        <w:t>- интеграцию систем и подготовку персонала;</w:t>
      </w:r>
    </w:p>
    <w:p>
      <w:pPr>
        <w:jc w:val="both"/>
      </w:pPr>
      <w:r>
        <w:rPr>
          <w:b w:val="0"/>
          <w:i w:val="0"/>
        </w:rPr>
        <w:t xml:space="preserve">- готовность к проверкам со стороны подкомиссии и уполномоченных органов. </w:t>
      </w:r>
    </w:p>
    <w:p>
      <w:pPr>
        <w:jc w:val="both"/>
      </w:pPr>
      <w:r>
        <w:rPr>
          <w:b w:val="0"/>
          <w:i w:val="0"/>
        </w:rPr>
        <w:t xml:space="preserve">Только комплексный подход позволит избежать риска временного управления и обеспечить реальную безопасность предприятия в условиях продолжающихся атак БПЛА. </w:t>
      </w:r>
    </w:p>
    <w:p>
      <w:pPr>
        <w:jc w:val="right"/>
      </w:pPr>
      <w:r>
        <w:rPr>
          <w:b w:val="0"/>
          <w:i w:val="0"/>
        </w:rPr>
        <w:t xml:space="preserve">Приложение </w:t>
      </w:r>
    </w:p>
    <w:p>
      <w:pPr>
        <w:jc w:val="center"/>
      </w:pPr>
      <w:r>
        <w:rPr>
          <w:b w:val="0"/>
          <w:i w:val="0"/>
        </w:rPr>
        <w:t>МЕЖДУНАРОДНЫЙ ОПЫТ ПО ЗАЩИТЕ ОБЪЕКТОВ КРИТИЧЕСКОЙ ИНФРАСТРУКТУРЫ: ПЕРСИДСКИЙ ЗАЛИВ, ИЗРАИЛЬ, ЕВРОПА И США</w:t>
      </w:r>
    </w:p>
    <w:p>
      <w:pPr>
        <w:jc w:val="both"/>
      </w:pPr>
      <w:r>
        <w:rPr>
          <w:b w:val="0"/>
          <w:i w:val="0"/>
        </w:rPr>
        <w:t>Атака на нефтепереработывающие объекты Saudi Aramco в Абкайке и Хурайсе в сентябре 2019 года остается хрестоматийным случаем: удар дронами и крылатыми ракетами временно вывел из строя 5,7 миллиона баррелей добычи в сутки – больше половины всей нефтедобычи Саудовской Аравии и около 5 процентов мировых поставок. По данным Bloomberg, на Абкайке зафиксировано пять точных попаданий по колоннам стабилизации нефти и еще одиннадцать – по инфраструктуре разделения углеводородов, на Хурайсе повреждены четыре колонны с разной степенью тяжести. После этого страны Персидского залива, включая ОАЭ, пошли по пути ускоренного развертывания пассивных физических барьеров: резервуарные парки массово обносятся стальными решетками и сетчатыми куполами, которые задерживают беспилотник на подступах к цели и снижают ущерб от взрыва даже там, где не сработали более ранние рубежи обнаружения и радиоэлектронного подавления. Именно на этот опыт сегодня ориентируются российские нефтепереработчики, массово внедряющие похожие стальные конструкции на своих площадках.</w:t>
      </w:r>
    </w:p>
    <w:p>
      <w:pPr>
        <w:jc w:val="both"/>
      </w:pPr>
      <w:r>
        <w:rPr>
          <w:b w:val="0"/>
          <w:i w:val="0"/>
        </w:rPr>
        <w:t>Израильский случай интересен по другой причине – он показывает предел возможностей одной только активной ПВО. Комплекс «Железный купол» за время эксплуатации перехватил тысячи целей и официально заявляет о более чем 90 процентов перехватов, однако независимые оценки, в том числе аналитиков RAND Corporation, дают более скромную цифру – 80–85 процентов в обычных условиях и 60–75 процентов при массированных налетах. Более того, недорогие модифицированные коммерческие дроны стоимостью менее тысячи долларов, по отдельным оценкам, достигают до 40 процентов проникновения через радиолокационные «слепые зоны» на малых высотах. Вывод для промышленного объекта прямой: даже государство с одной из самых плотных систем ПВО в мире не гарантирует стопроцентного перехвата, и предприятие не вправе полагаться исключительно на внешний щит.</w:t>
      </w:r>
    </w:p>
    <w:p>
      <w:pPr>
        <w:jc w:val="both"/>
      </w:pPr>
      <w:r>
        <w:rPr>
          <w:b w:val="0"/>
          <w:i w:val="0"/>
        </w:rPr>
        <w:t>Евросоюз пошел по пути системного регулирования, а не точечных указов. С 18 октября 2024 года применяется директива о резильентности</w:t>
      </w:r>
      <w:r>
        <w:rPr>
          <w:vertAlign w:val="superscript"/>
        </w:rPr>
        <w:t>3</w:t>
      </w:r>
      <w:r>
        <w:rPr>
          <w:b w:val="0"/>
          <w:i w:val="0"/>
        </w:rPr>
        <w:t xml:space="preserve"> критических субъектов (Critical Entities Resilience Directive), заменившая прежнюю директиву 2008 года. Документ охватывает одиннадцать секторов – от энергетики и транспорта до банковского сектора, здравоохранения, водоснабжения, цифровой инфраструктуры и производства продовольствия. Логика директивы принципиально иная, чем разовое вмешательство: страны-члены Евросоюза должны были провести оценку рисков и определить перечень критических субъектов до июля 2026 года, а сами субъекты – провести собственную оценку рисков, принять технические, организационные и охранные меры и уведомлять о произошедших инцидентах. За компаниями, получившими официальный статус критического субъекта, закреплен десятимесячный срок на приведение защиты в соответствие с требованиями, окончательный дедлайн для первой волны – май 2027 года. В июле 2026 года Еврокомиссия дополнительно выпустила методические рекомендации по конкретным техническим и организационным мерам защиты, что подчеркивает: тема физической защиты критической инфраструктуры стала общеевропейским приоритетом, а не специфически российской реакцией на конфликт.</w:t>
      </w:r>
    </w:p>
    <w:p>
      <w:pPr>
        <w:jc w:val="both"/>
      </w:pPr>
      <w:r>
        <w:rPr>
          <w:b w:val="0"/>
          <w:i w:val="0"/>
        </w:rPr>
        <w:t>Американская модель ближе к российской по жесткости, хотя оформлена иначе. Для ряда категорий объектов – химическая промышленность, нефтегазовые и логистические терминалы – регулятор вправе не просто штрафовать, а прямо приостановить эксплуатацию объекта при невыполнении требований по физической защите. Французское законодательство о секторах жизненно важной деятельности идет еще дальше: собственники объектов энергетики, транспорта, водоснабжения, связи, промышленности, финансов, здравоохранения и продовольственного обеспечения несут персональную ответственность за физическую защиту своих активов, вплоть до уголовной, и обязаны финансировать защитные меры полностью за свой счет, без права перекладывать расходы на государство.</w:t>
      </w:r>
    </w:p>
    <w:p>
      <w:pPr>
        <w:jc w:val="both"/>
      </w:pPr>
      <w:r>
        <w:rPr>
          <w:b w:val="0"/>
          <w:i w:val="0"/>
        </w:rPr>
        <w:t>На этом фоне российский указ N 604 выглядит скорее умеренным вариантом мирового тренда, чем исключением из правил: там, где Франция или США грозят штрафом и остановкой эксплуатации, российский механизм предполагает временное управление с возможностью возврата актива собственнику после устранения нарушений.</w:t>
      </w:r>
    </w:p>
    <w:p/>
    <w:p>
      <w:r>
        <w:rPr>
          <w:b/>
        </w:rPr>
        <w:t>Примечания</w:t>
      </w:r>
    </w:p>
    <w:p>
      <w:r>
        <w:t>1. О зарубежном опыте см. приложение к статье.</w:t>
      </w:r>
    </w:p>
    <w:p>
      <w:r>
        <w:t>2. Постановление Правительства РФ от 26.08.2026 N 1077 "О подкомиссии по обеспечению бесперебойного функционирования отдельных отраслей экономики Правительственной комиссии по повышению устойчивости Российской экономики в условиях санкций".</w:t>
      </w:r>
    </w:p>
    <w:p>
      <w:r>
        <w:t>3. Резильентность  (от англ.  resilience  – упругость, эластичность, устойчивость) – в данном случае это устойчивость системы или отдельных объектов, их способность справляться с чрезвычайными ситуациями, а затем восстанавливаться и адаптироваться к ним.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