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РАЗБОР ЕЩЕ ОДНОГО СУДЕБНОГО РЕШЕНИЯ ПО ЗАЩИТНОМУ СООРУЖЕНИЮ ГРАЖДАНСКОЙ ОБОРОНЫ</w:t>
      </w:r>
    </w:p>
    <w:p>
      <w:r>
        <w:rPr>
          <w:b/>
        </w:rPr>
        <w:t>Рубрика: ЗАЩИТНЫЕ СООРУЖЕНИЯ ГРАЖДАНСКОЙ ОБОРОНЫ</w:t>
        <w:br/>
      </w:r>
      <w:r>
        <w:t>Автор: Сапрыгин Е.А. &lt;br&gt; Юрист, консультант редакции журнала</w:t>
        <w:br/>
      </w:r>
    </w:p>
    <w:p/>
    <w:p>
      <w:r/>
    </w:p>
    <w:p>
      <w:r/>
    </w:p>
    <w:p>
      <w:pPr>
        <w:jc w:val="both"/>
      </w:pPr>
      <w:r>
        <w:rPr>
          <w:b w:val="0"/>
          <w:i w:val="0"/>
        </w:rPr>
        <w:t>Можно ли быть собственником подвального помещения и не догадываться, что по документам это противорадиационное укрытие, включенное в фонд защитных сооружений гражданской обороны? Именно с такой ситуацией столкнулось ПАО «Таттелеком» в деле о подвальном помещении в селе Верхний Услон, и эта история куда показательнее, чем кажется на первый взгляд.</w:t>
      </w:r>
    </w:p>
    <w:p>
      <w:pPr>
        <w:jc w:val="both"/>
      </w:pPr>
      <w:r>
        <w:rPr>
          <w:b w:val="0"/>
          <w:i w:val="0"/>
        </w:rPr>
        <w:t>В практике ГОЧС такие споры не редкость, но далеко не всегда доводятся до апелляционной судебной инстанции, да еще с детальной оценкой порядка учета, паспортизации и снятия с учета защитных сооружений гражданской обороны (далее – ЗСГО). Постановление Одиннадцатого арбитражного апелляционного суда от 02.07.2025 по делу N А65-3620/2024 наглядно демонстрирует, что формальный статус объекта как ЗСГО может оказаться сильнее аргументов собственника о приватизации, отсутствии паспорта на руках и хозяйственной целесообразности.</w:t>
      </w:r>
    </w:p>
    <w:p>
      <w:pPr>
        <w:jc w:val="both"/>
      </w:pPr>
      <w:r>
        <w:rPr>
          <w:b w:val="0"/>
          <w:i w:val="0"/>
        </w:rPr>
        <w:t>Для специалистов системы ГОЧС это дело полезно тем, что суд, по сути, прошел по всей цепочке событий: от определения правовой природы гражданской обороны до конкретных процедур снятия ЗСГО с учета, привязав спорный подвал к действующим нормативным актам, а не к субъективным ожиданиям участника спора.</w:t>
      </w:r>
    </w:p>
    <w:p>
      <w:r/>
    </w:p>
    <w:p>
      <w:pPr>
        <w:jc w:val="both"/>
      </w:pPr>
      <w:r>
        <w:rPr>
          <w:b/>
          <w:i w:val="0"/>
        </w:rPr>
        <w:t>Фабула дела: подвал, который оказался убежищем</w:t>
      </w:r>
    </w:p>
    <w:p>
      <w:pPr>
        <w:jc w:val="both"/>
      </w:pPr>
      <w:r>
        <w:rPr>
          <w:b w:val="0"/>
          <w:i w:val="0"/>
        </w:rPr>
        <w:t>Суть спора проста: ПАО «Таттелеком» владеет частью подвального помещения в здании РУЭС в Верхнем Услоне. Подвал числится как противорадиационное укрытие площадью  с инвентарным номером 15П006-16 и внесен в журнал учета защитных сооружений ГО.</w:t>
      </w:r>
    </w:p>
    <w:p>
      <w:pPr>
        <w:jc w:val="both"/>
      </w:pPr>
      <w:r>
        <w:rPr>
          <w:b w:val="0"/>
          <w:i w:val="0"/>
        </w:rPr>
        <w:t>Компания, не имея у себя паспорта укрытия и считая, что объект не передавался ей именно как ЗСГО, обратилась в Главное управление МЧС России по Республике Татарстан с требованием исключить подвал из журнала учета ЗСГО, полагая бездействие органа ГОЧС незаконным и нарушающим ее права как собственника и хозяйствующего субъекта.</w:t>
      </w:r>
    </w:p>
    <w:p>
      <w:pPr>
        <w:jc w:val="both"/>
      </w:pPr>
      <w:r>
        <w:rPr>
          <w:b w:val="0"/>
          <w:i w:val="0"/>
        </w:rPr>
        <w:t>МЧС, по существу, не выполнило запрошенных действий, а обращение осталось без результата, что и стало поводом для судебного оспаривания «бездействия» как незаконного. Первая волна судебных актов была в пользу заявителя, однако кассация отменила решения и указала судам на необходимость проверить: соблюдался ли установленный порядок снятия ЗСГО с учета, позволяют ли характеристики подвала относить его к защитным сооружениям ГО и как соотносятся акты осмотра с требованиями нормативов.</w:t>
      </w:r>
    </w:p>
    <w:p>
      <w:pPr>
        <w:jc w:val="both"/>
      </w:pPr>
      <w:r>
        <w:rPr>
          <w:b w:val="0"/>
          <w:i w:val="0"/>
        </w:rPr>
        <w:t>При новом рассмотрении в 2025 году суд первой инстанции отказал ПАО «Таттелеком» в удовлетворении требований. Апелляция поддержала этот подход, фактически указав: статус ЗСГО подтвержден, порядок снятия с учета заявителем не соблюден, а выбранный ответчик и формат требований не соответствуют реальной конструкции полномочий в системе ГО.</w:t>
      </w:r>
    </w:p>
    <w:p>
      <w:r/>
    </w:p>
    <w:p>
      <w:pPr>
        <w:jc w:val="both"/>
      </w:pPr>
      <w:r>
        <w:rPr>
          <w:b/>
          <w:i w:val="0"/>
        </w:rPr>
        <w:t>Что такое защитное сооружение ГО</w:t>
      </w:r>
    </w:p>
    <w:p>
      <w:pPr>
        <w:jc w:val="both"/>
      </w:pPr>
      <w:hyperlink r:id="rId9">
        <w:r>
          <w:rPr>
            <w:color w:val="0563C1"/>
            <w:u w:val="single"/>
          </w:rPr>
          <w:t xml:space="preserve">Точку отсчета задает Федеральный закон от 12.02.1998 N 28-ФЗ «О гражданской обороне»</w:t>
        </w:r>
      </w:hyperlink>
      <w:r>
        <w:rPr>
          <w:b w:val="0"/>
          <w:i w:val="0"/>
        </w:rPr>
        <w:t>. Этот закон определяет гражданскую оборону как систему мероприятий по подготовке к защите и защите населения, материальных и культурных ценностей от опасностей при военных конфликтах и при чрезвычайных ситуациях природного и техногенного характера.</w:t>
      </w:r>
    </w:p>
    <w:p>
      <w:pPr>
        <w:jc w:val="both"/>
      </w:pPr>
      <w:r>
        <w:rPr>
          <w:b w:val="0"/>
          <w:i w:val="0"/>
        </w:rPr>
        <w:t>Важный термин для рассматриваемого дела – «требования в области гражданской обороны». Под ними понимается специально установленные условия (правила, порядок) создания и эксплуатации объектов ГО, систем оповещения, средств защиты и т.д. Именно на эти специальные требования опираются суды, оценивая, может ли подвал быть отнесен к ЗСГО и как его можно или нельзя вывести из фонда таких сооружений.</w:t>
      </w:r>
    </w:p>
    <w:p>
      <w:pPr>
        <w:jc w:val="both"/>
      </w:pPr>
      <w:r>
        <w:rPr>
          <w:b w:val="0"/>
          <w:i w:val="0"/>
        </w:rPr>
        <w:t>Статья 6 Закона N 28-ФЗ закрепляет полномочия Правительства РФ по определению порядка отнесения территорий и организаций к группам и категориям по ГО, а также по определению порядка создания убежищ и иных объектов ГО, и порядок накопления, хранения и использования запасов материально-технических средств для ГО. В рассматриваемом деле эти положения выступают «зонтиком» для последующих подзаконных актов – Порядка создания убежищ и Правил эксплуатации ЗСГО.</w:t>
      </w:r>
    </w:p>
    <w:p>
      <w:pPr>
        <w:jc w:val="both"/>
      </w:pPr>
      <w:hyperlink r:id="rId10">
        <w:r>
          <w:rPr>
            <w:color w:val="0563C1"/>
            <w:u w:val="single"/>
          </w:rPr>
          <w:t xml:space="preserve">Ключевым подзаконным актом выступает постановление Правительства РФ от 29.11.1999 N 1309 «О порядке создания убежищ и иных объектов гражданской обороны»</w:t>
        </w:r>
      </w:hyperlink>
      <w:r>
        <w:rPr>
          <w:b w:val="0"/>
          <w:i w:val="0"/>
        </w:rPr>
        <w:t>, которым утвержден одноименный Порядок. Порядок определяет правила создания убежищ и иных ЗСГО в мирное время, в период мобилизации и военное время, а также распределяет обязанности между федеральными органами, субъектами РФ, органами местного самоуправления и организациями.</w:t>
      </w:r>
    </w:p>
    <w:p>
      <w:r/>
    </w:p>
    <w:p>
      <w:pPr>
        <w:jc w:val="both"/>
      </w:pPr>
      <w:r>
        <w:rPr>
          <w:b/>
          <w:i w:val="0"/>
        </w:rPr>
        <w:t>Учет, паспортизация и инвентаризация ЗСГО</w:t>
      </w:r>
    </w:p>
    <w:p>
      <w:pPr>
        <w:jc w:val="both"/>
      </w:pPr>
      <w:hyperlink r:id="rId11">
        <w:r>
          <w:rPr>
            <w:color w:val="0563C1"/>
            <w:u w:val="single"/>
          </w:rPr>
          <w:t xml:space="preserve">Практический центр спора – это учет и паспортизация защитных сооружений. Правила эксплуатации защитных сооружений гражданской обороны, утвержденные приказом МЧС России от 15.12.2002 N 583</w:t>
        </w:r>
      </w:hyperlink>
      <w:r>
        <w:rPr>
          <w:b w:val="0"/>
          <w:i w:val="0"/>
        </w:rPr>
        <w:t>, устанавливают порядок учета, содержания и эксплуатации ЗСГО.</w:t>
      </w:r>
    </w:p>
    <w:p>
      <w:pPr>
        <w:jc w:val="both"/>
      </w:pPr>
      <w:r>
        <w:rPr>
          <w:b w:val="0"/>
          <w:i w:val="0"/>
        </w:rPr>
        <w:t>Согласно пункту 1.2 Правил N 583 требования документа распространяются на эксплуатацию убежищ, противорадиационных укрытий и укрытий в режиме повседневной деятельности, в военное время, при угрозе и возникновении ЧС природного и техногенного характера. Статус защитного сооружения определяется наличием паспорта ЗСГО, в котором фиксируются технические характеристики и состав систем жизнеобеспечения.</w:t>
      </w:r>
    </w:p>
    <w:p>
      <w:pPr>
        <w:jc w:val="both"/>
      </w:pPr>
      <w:r>
        <w:rPr>
          <w:b w:val="0"/>
          <w:i w:val="0"/>
        </w:rPr>
        <w:t>Учет ЗСГО ведется в федеральных органах исполнительной власти, органах исполнительной власти субъектов РФ, главных управлениях МЧС России по субъектам РФ и органах местного самоуправления, а также в организациях-балансодержателях. Учет ЗСГО осуществляется в журналах учета ЗСГО. Документальным основанием для учета является паспорт ЗСГО, а при его отсутствии – проектная и техническая документация, объемно-планировочные решения и наличие специального инженерно-технического оборудования, позволяющие отнести помещение к ЗСГО.</w:t>
      </w:r>
    </w:p>
    <w:p>
      <w:pPr>
        <w:jc w:val="both"/>
      </w:pPr>
      <w:r>
        <w:rPr>
          <w:b w:val="0"/>
          <w:i w:val="0"/>
        </w:rPr>
        <w:t xml:space="preserve">Правила N 583 отдельно регламентируют присвоение инвентарных номеров объектам ГО: номера выдают органы управления ГО и ЧС субъектов РФ на основании сведений о местоположении и паспорта сооружения. В рассматриваемом деле подвал получил паспорт противорадиационного укрытия от 21.11.2005 N 6 и инвентарный номер 15П006-16. </w:t>
      </w:r>
    </w:p>
    <w:p>
      <w:pPr>
        <w:jc w:val="both"/>
      </w:pPr>
      <w:r>
        <w:rPr>
          <w:b w:val="0"/>
          <w:i w:val="0"/>
        </w:rPr>
        <w:t>Значимо, что суды подчеркивают: отсутствие паспорта у конкретной организации-собственника на руках не означает отсутствия статуса ЗСГО. Согласно приказу N 583 паспорт оформляется в трех экземплярах: один хранится непосредственно в ЗСГО, второй – в службе ЗСГО объекта, третий – в органе управления по делам ГО и ЧС города (района). Соответственно, «не нашел в архиве» и «его у нас не было» – не аргумент против существования паспорта и учета объекта как ЗСГО.</w:t>
      </w:r>
    </w:p>
    <w:p>
      <w:r/>
    </w:p>
    <w:p>
      <w:pPr>
        <w:jc w:val="both"/>
      </w:pPr>
      <w:r>
        <w:rPr>
          <w:b/>
          <w:i w:val="0"/>
        </w:rPr>
        <w:t>Когда и как ЗСГО можно снять с учета</w:t>
      </w:r>
    </w:p>
    <w:p>
      <w:pPr>
        <w:jc w:val="both"/>
      </w:pPr>
      <w:r>
        <w:rPr>
          <w:b w:val="0"/>
          <w:i w:val="0"/>
        </w:rPr>
        <w:t>На этом этапе включается самый болезненный для собственников блок Правил N 583 – порядок снятия ЗСГО с учета. Пункт 2.5 перечисляет исчерпывающий (закрытый) перечень оснований для снятия:</w:t>
      </w:r>
    </w:p>
    <w:p>
      <w:pPr>
        <w:jc w:val="both"/>
      </w:pPr>
      <w:r>
        <w:rPr>
          <w:b w:val="0"/>
          <w:i w:val="0"/>
        </w:rPr>
        <w:t xml:space="preserve">- утрата расчетных защитных свойств конструкций при невозможности или экономической нецелесообразности восстановления; </w:t>
      </w:r>
    </w:p>
    <w:p>
      <w:pPr>
        <w:jc w:val="both"/>
      </w:pPr>
      <w:r>
        <w:rPr>
          <w:b w:val="0"/>
          <w:i w:val="0"/>
        </w:rPr>
        <w:t xml:space="preserve">- реконструкция, новое строительство и техническое перевооружение, проводимые по решениям полномочных органов, при условии восполнения фонда ЗСГО; </w:t>
      </w:r>
    </w:p>
    <w:p>
      <w:pPr>
        <w:jc w:val="both"/>
      </w:pPr>
      <w:r>
        <w:rPr>
          <w:b w:val="0"/>
          <w:i w:val="0"/>
        </w:rPr>
        <w:t xml:space="preserve">- отсутствие организаций, которым можно передать ЗСГО в оперативное управление или хозяйственное ведение, и при этом отсутствует потребность в таком объекте для защиты установленных категорий населения; </w:t>
      </w:r>
    </w:p>
    <w:p>
      <w:pPr>
        <w:jc w:val="both"/>
      </w:pPr>
      <w:r>
        <w:rPr>
          <w:b w:val="0"/>
          <w:i w:val="0"/>
        </w:rPr>
        <w:t>- фактическое отсутствие сооружения по учетному адресу.</w:t>
      </w:r>
    </w:p>
    <w:p>
      <w:pPr>
        <w:jc w:val="both"/>
      </w:pPr>
      <w:r>
        <w:rPr>
          <w:b w:val="0"/>
          <w:i w:val="0"/>
        </w:rPr>
        <w:t>Суд обратил внимание на закрытый характер перечня. Суд отметил: произвольное уменьшение фонда ЗСГО через «удобные» толкования оснований недопустимо, поскольку ведет к снижению уровня защищенности населения. Для ГОЧС-практики это важный сигнал: любые решения, которые фактически выводят объект из фонда, должны строго укладываться в указанные основания и сопровождаться надлежащими актами обследования и проверок.</w:t>
      </w:r>
    </w:p>
    <w:p>
      <w:pPr>
        <w:jc w:val="both"/>
      </w:pPr>
      <w:r>
        <w:rPr>
          <w:b w:val="0"/>
          <w:i w:val="0"/>
        </w:rPr>
        <w:t>Пункты 2.6–2.12 Правил N 583 определяют процедуру (последовательность действий) подготовки документации к снятию с учета: создание комиссии соответствующим должностным лицом, проведение обследования, оформление актов, обоснование утраты защитных свойств либо других законных оснований, последующее внесение изменений в учетные документы. Причем субъект, инициирующий снятие, не может «перескочить» через стадию комиссии и актов, сразу требуя от органа МЧС исключения спорного подвала из журнала учета ЗСГО.</w:t>
      </w:r>
    </w:p>
    <w:p>
      <w:pPr>
        <w:jc w:val="both"/>
      </w:pPr>
      <w:r>
        <w:rPr>
          <w:b w:val="0"/>
          <w:i w:val="0"/>
        </w:rPr>
        <w:t>В деле ПАО «Таттелеком» суды констатировали: заявитель не представил доказательств соблюдения указанного порядка – не создана комиссия, нет актов о несоответствии, нет материалов, подтверждающих утрату защитных свойств или иное основание из закрытого перечня. При таких вводных требование признать незаконным «бездействие» органа МЧС по неисключению объекта из журнала учета оказалось юридически необоснованным.</w:t>
      </w:r>
    </w:p>
    <w:p>
      <w:pPr>
        <w:jc w:val="both"/>
      </w:pPr>
      <w:r>
        <w:rPr>
          <w:b w:val="0"/>
          <w:i w:val="0"/>
        </w:rPr>
        <w:t xml:space="preserve">Отдельно апелляционный суд обратил внимание на еще один важный </w:t>
      </w:r>
      <w:hyperlink r:id="rId10">
        <w:r>
          <w:rPr>
            <w:color w:val="0563C1"/>
            <w:u w:val="single"/>
          </w:rPr>
          <w:t xml:space="preserve">аспект: предъявление требований к ненадлежащему ответчику. Функции ведения учета, методического руководства и контроля со стороны МЧС определены Постановлением Правительства РФ от 29.11.1999 N 1309 "О Порядке создания убежищ и иных объектов гражданской обороны"</w:t>
        </w:r>
      </w:hyperlink>
      <w:r>
        <w:rPr>
          <w:b w:val="0"/>
          <w:i w:val="0"/>
        </w:rPr>
        <w:t xml:space="preserve"> и Положением о МЧС России. Однако вопросы распоряжения объектами федеральной собственности, запрета приватизации ЗСГО и передачи имущества регулируются иными актами – в том числе Федеральным законом от 21.12.2001 N 178-ФЗ «О приватизации государственного и муниципального имущества» и Указом Президента РФ от 24.12.1993 N 2284 о Государственной программе приватизации.</w:t>
      </w:r>
    </w:p>
    <w:p>
      <w:r/>
    </w:p>
    <w:p>
      <w:pPr>
        <w:jc w:val="both"/>
      </w:pPr>
      <w:r>
        <w:rPr>
          <w:b/>
          <w:i w:val="0"/>
        </w:rPr>
        <w:t>Ошибки заявителя в деле ПАО «Таттелеком»</w:t>
      </w:r>
    </w:p>
    <w:p>
      <w:pPr>
        <w:jc w:val="both"/>
      </w:pPr>
      <w:r>
        <w:rPr>
          <w:b w:val="0"/>
          <w:i w:val="0"/>
        </w:rPr>
        <w:t>С позиции юриста в деле просматривается несколько типичных ошибок, которые и привели к отказу в удовлетворении требований.</w:t>
      </w:r>
    </w:p>
    <w:p>
      <w:pPr>
        <w:jc w:val="both"/>
      </w:pPr>
      <w:r>
        <w:rPr>
          <w:b w:val="0"/>
          <w:i w:val="0"/>
        </w:rPr>
        <w:t>Во-первых, заявитель пытался строить позицию на обстоятельствах приватизации: дескать, ЗСГО не передавалось в состав имущества, в передаточном акте оно прямо не выделено, обременения отсутствуют. Однако суд указал, что включение подвального помещения в уставный капитал не исключает возможности его отнесения к защитным сооружениям ГО. Более того, само по себе ограничение приватизации ЗСГО не означает, что фактически созданное защитное сооружение «перестает им быть» при приватизации здания, особенно если соответствующий фонд учтен и поддерживается в готовности.</w:t>
      </w:r>
    </w:p>
    <w:p>
      <w:pPr>
        <w:jc w:val="both"/>
      </w:pPr>
      <w:r>
        <w:rPr>
          <w:b w:val="0"/>
          <w:i w:val="0"/>
        </w:rPr>
        <w:t>Во-вторых, ПАО «Таттелеком» акцентировало внимание на отсутствии у него проектной и технической документации, а также паспорта ЗСГО. Но суд справедливо отметил: наличие паспорта укрытия N 6 и актов инвентаризации у органов ГО и ЧС и в журнале учета достаточно для подтверждения статуса. Отсутствие копии у собственника – это проблема организации документооборота, но не статуса объекта.</w:t>
      </w:r>
    </w:p>
    <w:p>
      <w:pPr>
        <w:jc w:val="both"/>
      </w:pPr>
      <w:r>
        <w:rPr>
          <w:b w:val="0"/>
          <w:i w:val="0"/>
        </w:rPr>
        <w:t>В-третьих, ключевой процессуальный просчет – попытка оспорить «бездействие» без соблюдения процедуры снятия с учета по Правилам N 583. По сути, заявитель хотел, чтобы МЧС «односторонне» вычеркнуло объект из журнала на основании письма организации, без комиссий, обследований и актов. Суд же жестко связал возможное исключение объекта с наличием законных оснований и полноценного пакета документов, подчеркнув закрытый характер перечня оснований для снятия с учета ЗСГО.</w:t>
      </w:r>
    </w:p>
    <w:p>
      <w:r/>
    </w:p>
    <w:p>
      <w:pPr>
        <w:jc w:val="both"/>
      </w:pPr>
      <w:r>
        <w:rPr>
          <w:b/>
          <w:i w:val="0"/>
        </w:rPr>
        <w:t>Практические выводы для собственников и органов ГОЧС</w:t>
      </w:r>
    </w:p>
    <w:p>
      <w:pPr>
        <w:jc w:val="both"/>
      </w:pPr>
      <w:r>
        <w:rPr>
          <w:b w:val="0"/>
          <w:i w:val="0"/>
        </w:rPr>
        <w:t>Для собственников зданий и помещений, на базе которых размещаются ЗСГО, главный вывод неприятный, но вполне четкий: статус защитного сооружения «важнее» права собственности. То есть наличие свидетельства о собственности на помещение не отменяет обязательств по поддержанию ЗСГО в состоянии готовности и соблюдению специальных правил эксплуатации, пока объект официально не снят с учета по установленной процедуре.</w:t>
      </w:r>
    </w:p>
    <w:p>
      <w:pPr>
        <w:jc w:val="both"/>
      </w:pPr>
      <w:r>
        <w:rPr>
          <w:b w:val="0"/>
          <w:i w:val="0"/>
        </w:rPr>
        <w:t>Отсюда следуют конкретные рекомендации. Организациям, особенно получившим имущество в результате давней приватизации, стоит провести инвентаризацию: запросить в органах ГО и ЧС информацию о наличии в пределах объекта ЗСГО, паспорта, актов инвентаризации, инвентарных номеров. Фактически это простая проверка: не «прячется» ли в подвальном помещении защитное сооружение ГО, за которое  собственник отвечает даже при отсутствии внутренних документов.</w:t>
      </w:r>
    </w:p>
    <w:p>
      <w:pPr>
        <w:jc w:val="both"/>
      </w:pPr>
      <w:r>
        <w:rPr>
          <w:b w:val="0"/>
          <w:i w:val="0"/>
        </w:rPr>
        <w:t>Если организация приходит к выводу, что использование подвального помещения как ЗСГО невозможно или экономически нецелесообразно, инициировать снятие с учета нужно не письмом-просьбой, а в строгом соответствии с Правилами N 583, включая формирование комиссии, обследование, фиксацию утраты защитных свойств, подготовку актов. И только после этого орган МЧС и органы власти могут легально рассматривать вопрос о снятии объекта с учета, возможно с условием восполнения фонда ЗСГО.</w:t>
      </w:r>
    </w:p>
    <w:p>
      <w:pPr>
        <w:jc w:val="both"/>
      </w:pPr>
      <w:r>
        <w:rPr>
          <w:b w:val="0"/>
          <w:i w:val="0"/>
        </w:rPr>
        <w:t>Для органов ГОЧС дело ПАО «Таттелеком» является напоминанием о важности контроля. Когда объект числится как ЗСГО, но собственник о нем узнает только из иска прокурора об устранении нарушений, это сигнал о недостатках работы органов ГОЧС. Методы решения понятны: уведомление собственников, предоставление копий паспортов, регулярные проверки и акты с четкой привязкой к требованиям Правил N 583 и Порядка N 1309.</w:t>
      </w:r>
    </w:p>
    <w:p>
      <w:r/>
    </w:p>
    <w:p>
      <w:pPr>
        <w:jc w:val="right"/>
      </w:pPr>
      <w:r>
        <w:rPr>
          <w:b w:val="0"/>
          <w:i w:val="0"/>
        </w:rPr>
        <w:t>Таблица 1</w:t>
      </w:r>
    </w:p>
    <w:p>
      <w:r/>
    </w:p>
    <w:p>
      <w:pPr>
        <w:jc w:val="center"/>
      </w:pPr>
      <w:r>
        <w:rPr>
          <w:b w:val="0"/>
          <w:i w:val="0"/>
        </w:rPr>
        <w:t>Ключевые обязанности субъектов по ЗСГО</w:t>
      </w:r>
    </w:p>
    <w:p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9921"/>
          </w:tcPr>
          <w:p>
            <w:pPr>
              <w:jc w:val="center"/>
            </w:pPr>
            <w:r>
              <w:rPr>
                <w:b/>
                <w:sz w:val="20"/>
              </w:rPr>
              <w:t>Субъект</w:t>
            </w:r>
          </w:p>
        </w:tc>
        <w:tc>
          <w:tcPr>
            <w:tcW w:type="dxa" w:w="9921"/>
          </w:tcPr>
          <w:p>
            <w:pPr>
              <w:jc w:val="center"/>
            </w:pPr>
            <w:r>
              <w:rPr>
                <w:b/>
                <w:sz w:val="20"/>
              </w:rPr>
              <w:t>Основные обязанности в отношении ЗСГО</w:t>
            </w:r>
          </w:p>
        </w:tc>
      </w:tr>
      <w:tr>
        <w:tc>
          <w:tcPr>
            <w:tcW w:type="dxa" w:w="9921"/>
          </w:tcPr>
          <w:p>
            <w:pPr>
              <w:jc w:val="left"/>
            </w:pPr>
            <w:r>
              <w:t>Правительство РФ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Определяет порядок создания, учета и использования в мирное время ЗСГО</w:t>
            </w:r>
          </w:p>
        </w:tc>
      </w:tr>
      <w:tr>
        <w:tc>
          <w:tcPr>
            <w:tcW w:type="dxa" w:w="9921"/>
          </w:tcPr>
          <w:p>
            <w:pPr>
              <w:jc w:val="left"/>
            </w:pPr>
            <w:r>
              <w:t>МЧС России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Осуществляет методическое руководство и контроль за созданием и готовностью ЗСГО, издает нормативные акты в этой сфере.</w:t>
            </w:r>
          </w:p>
        </w:tc>
      </w:tr>
      <w:tr>
        <w:tc>
          <w:tcPr>
            <w:tcW w:type="dxa" w:w="9921"/>
          </w:tcPr>
          <w:p>
            <w:pPr>
              <w:jc w:val="left"/>
            </w:pPr>
            <w:r>
              <w:t>Органы ГОЧС субъектов РФ и местного самоуправления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Определяют потребность в ЗСГО, создают и сохраняют объекты, ведут учет, контролируют готовность к использованию.</w:t>
            </w:r>
          </w:p>
        </w:tc>
      </w:tr>
      <w:tr>
        <w:tc>
          <w:tcPr>
            <w:tcW w:type="dxa" w:w="9921"/>
          </w:tcPr>
          <w:p>
            <w:pPr>
              <w:jc w:val="left"/>
            </w:pPr>
            <w:r>
              <w:t>Организации-собственники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Обеспечивают сохранность существующих ЗСГО, поддерживают их в постоянной готовности, ведут учет закрепленных объектов.</w:t>
            </w:r>
          </w:p>
        </w:tc>
      </w:tr>
      <w:tr>
        <w:tc>
          <w:tcPr>
            <w:tcW w:type="dxa" w:w="9921"/>
          </w:tcPr>
          <w:p>
            <w:pPr>
              <w:jc w:val="left"/>
            </w:pPr>
            <w:r>
              <w:t>Комиссия по снятию с учета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Обследует объект, фиксирует утрату защитных свойств или иные основания, готовит документы для снятия ЗСГО с учета.</w:t>
            </w:r>
          </w:p>
        </w:tc>
      </w:tr>
    </w:tbl>
    <w:p>
      <w:r/>
    </w:p>
    <w:p>
      <w:pPr>
        <w:jc w:val="both"/>
      </w:pPr>
      <w:r>
        <w:rPr>
          <w:b/>
          <w:i w:val="0"/>
        </w:rPr>
        <w:t>Заключение</w:t>
      </w:r>
    </w:p>
    <w:p>
      <w:pPr>
        <w:jc w:val="both"/>
      </w:pPr>
      <w:r>
        <w:rPr>
          <w:b w:val="0"/>
          <w:i w:val="0"/>
        </w:rPr>
        <w:t>Дело ПАО «Таттелеком» стало хорошей иллюстрацией того, что для системы ГОЧС понятие «подвал» не существует: если объект однажды включен в фонд защитных сооружений, выйти из него можно только через строгую формализованную процедуру. Вопрос, который остается открытым для многих собственников и региональных органов ГОЧС, звучит просто, но остро: готовы ли они к тому, что следующее «скрытое» защитное сооружение обнаружится уже не на судебном заседании, а в момент реальной угрозы?</w:t>
      </w:r>
    </w:p>
    <w:p>
      <w:pPr>
        <w:jc w:val="both"/>
      </w:pPr>
      <w:r>
        <w:rPr>
          <w:b w:val="0"/>
          <w:i w:val="0"/>
        </w:rPr>
        <w:t>В настоящее время государство повышает требования к готовности защитных сооружений и одновременно ужесточает подход к попыткам вывести такие объекты из фонда ЗСГО через суд или упрощенные процедуры. На этом фоне главный вопрос для специалистов ГОЧС и собственников звучит уже не так, «как избавиться от неудобного подвала», а скорее так: «Готовы ли мы выстроить управление недвижимостью и правовую работу так, чтобы в момент реальной угрозы не обнаружить, что формально существующее ЗСГО давно превратилось в склад, но юридически так и осталось единственным шансом для укрытия людей?»</w:t>
      </w:r>
    </w:p>
    <w:p>
      <w:r/>
    </w:p>
    <w:p>
      <w:r/>
    </w:p>
    <w:p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google.com/document/d/1xs4bVcp7iR-16VnqFaqxPjrghrUiOTe2/edit?usp=drivesdk&amp;ouid=107636637261335910720&amp;rtpof=true&amp;sd=true" TargetMode="External"/><Relationship Id="rId10" Type="http://schemas.openxmlformats.org/officeDocument/2006/relationships/hyperlink" Target="https://docs.google.com/document/d/17UGcBgi-giQ7Xeq8Bxgkus-eM65EJYXO/edit?usp=drivesdk&amp;ouid=107636637261335910720&amp;rtpof=true&amp;sd=true" TargetMode="External"/><Relationship Id="rId11" Type="http://schemas.openxmlformats.org/officeDocument/2006/relationships/hyperlink" Target="https://docs.google.com/document/d/13BnnaQ1eSRwLin6BKwlB5MqpT8ON0Dlc/edit?usp=drivesdk&amp;ouid=107636637261335910720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