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ПРАВОВЫЕ АСПЕКТЫ РАЗГРАНИЧЕНИЯ ГОСУДАРСТВЕННОЙ И МУНИЦИПАЛЬНОЙ СОБСТВЕННОСТИ НА ЗАЩИТНЫЕ СООРУЖЕНИЯ ГРАЖДАНСКОЙ ОБОРОНЫ НА ПРИМЕРЕ ОДНОГО СУДЕБНОГО РЕШЕНИЯ</w:t>
      </w:r>
    </w:p>
    <w:p>
      <w:r>
        <w:rPr>
          <w:b/>
        </w:rPr>
        <w:t>Рубрика: ДЕЛА СУДЕБНЫЕ</w:t>
        <w:br/>
      </w:r>
      <w:r>
        <w:t>Автор: Сапрыгин Е.А. Юрист, консультант редакции журнала</w:t>
        <w:br/>
      </w:r>
    </w:p>
    <w:p/>
    <w:p>
      <w:r/>
    </w:p>
    <w:p>
      <w:r/>
    </w:p>
    <w:p>
      <w:pPr>
        <w:jc w:val="both"/>
      </w:pPr>
      <w:r>
        <w:rPr>
          <w:b/>
          <w:i w:val="0"/>
        </w:rPr>
        <w:t>Введение: когда подвал внезапно превращается в объект гражданской обороны</w:t>
      </w:r>
    </w:p>
    <w:p>
      <w:pPr>
        <w:jc w:val="both"/>
      </w:pPr>
      <w:r>
        <w:rPr>
          <w:b w:val="0"/>
          <w:i w:val="0"/>
        </w:rPr>
        <w:t>Многие муниципалитеты привыкли воспринимать подвальные помещения как обременительный жилищно-коммунальный актив: влажность, износ, жалобы жителей, споры с управляющими компаниями, «лишние» расходы. Но в определенный момент те же подвалы «преображаются» – на бумаге они приобретают статус защитных сооружений гражданской обороны (далее – ЗСГО), а вместе с ним и принципиально иной правовой и финансовый смысл.</w:t>
      </w:r>
    </w:p>
    <w:p>
      <w:pPr>
        <w:jc w:val="both"/>
      </w:pPr>
      <w:r>
        <w:rPr>
          <w:b w:val="0"/>
          <w:i w:val="0"/>
        </w:rPr>
        <w:t>История с Арамильским городским округом (Свердловская область) показала, что решение о передаче таких объектов из федеральной собственности в муниципальную – это не просто техническая регистрация в ЕГРН. Это конфликт интересов: между задачами гражданской обороны (далее – ГО) и желанием сократить бюджетные расходы городского округа, между формальными признаками объекта ГО и его реальным техническим состоянием.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Далее разговор пойдет именно с позиции ГОЧС: какие правовые выводы следуют из постановления Арбитражного суда Уральского округа от 03.07.2025 N Ф09-7025/24</w:t>
        </w:r>
      </w:hyperlink>
      <w:r>
        <w:rPr>
          <w:b w:val="0"/>
          <w:i w:val="0"/>
        </w:rPr>
        <w:t xml:space="preserve"> и как построить работу так, чтобы не оказаться в подобной ситуации или хотя бы пройти ее более управляемо и с меньшими потерями.</w:t>
      </w:r>
    </w:p>
    <w:p>
      <w:r/>
    </w:p>
    <w:p>
      <w:pPr>
        <w:jc w:val="both"/>
      </w:pPr>
      <w:r>
        <w:rPr>
          <w:b/>
          <w:i w:val="0"/>
        </w:rPr>
        <w:t>Фабула спора: от распоряжений Росимущества к кассации</w:t>
      </w:r>
    </w:p>
    <w:p>
      <w:pPr>
        <w:jc w:val="both"/>
      </w:pPr>
      <w:r>
        <w:rPr>
          <w:b w:val="0"/>
          <w:i w:val="0"/>
        </w:rPr>
        <w:t>Суть конфликта проста и в то же время типична. Территориальное управление Росимущества по Свердловской области издало распоряжения от 17.03.2023 N 66-124-р и N 66-126-р «Об утверждении перечня защитных сооружений гражданской обороны, которые подлежат оформлению в собственность Арамильского городского округа».</w:t>
      </w:r>
    </w:p>
    <w:p>
      <w:pPr>
        <w:jc w:val="both"/>
      </w:pPr>
      <w:r>
        <w:rPr>
          <w:b w:val="0"/>
          <w:i w:val="0"/>
        </w:rPr>
        <w:t>На основании этих распоряжений в ЕГРН была зарегистрирована муниципальная собственность на ряд нежилых помещений по конкретным адресам в г. Арамиле – фактически подвалы многоквартирных домов, которые уполномоченные органы квалифицировали как ЗСГО, введенные в эксплуатацию еще до 21.01.1992 и включенные в соответствующий перечень.</w:t>
      </w:r>
    </w:p>
    <w:p>
      <w:pPr>
        <w:jc w:val="both"/>
      </w:pPr>
      <w:r>
        <w:rPr>
          <w:b w:val="0"/>
          <w:i w:val="0"/>
        </w:rPr>
        <w:t>Администрация городского округа оспорила распоряжения Росимущества, настаивая, что объекты не обладают признаками ЗСГО (отсутствие систем вентиляции, измерительных приборов, оборудования, неудовлетворительное состояние), а также на том, что порядок передачи федерального имущества в муниципальную собственность нарушен и волеизъявление муниципалитета на принятие объектов фактически отсутствовало.</w:t>
      </w:r>
    </w:p>
    <w:p>
      <w:pPr>
        <w:jc w:val="both"/>
      </w:pPr>
      <w:r>
        <w:rPr>
          <w:b w:val="0"/>
          <w:i w:val="0"/>
        </w:rPr>
        <w:t>Суд первой инстанции частично поддержал администрацию, признав оспариваемые распоряжения недействительными, но апелляция это решение изменила и в иске отказала. Кассационная инстанция – Арбитражный суд Уральского округа – оставила постановление апелляции без изменения, а жалобу администрации без удовлетворения.</w:t>
      </w:r>
    </w:p>
    <w:p>
      <w:r/>
    </w:p>
    <w:p>
      <w:pPr>
        <w:jc w:val="both"/>
      </w:pPr>
      <w:r>
        <w:rPr>
          <w:b/>
          <w:i w:val="0"/>
        </w:rPr>
        <w:t>ЗСГО: юридическое содержание статуса</w:t>
      </w:r>
    </w:p>
    <w:p>
      <w:pPr>
        <w:jc w:val="both"/>
      </w:pPr>
      <w:r>
        <w:rPr>
          <w:b w:val="0"/>
          <w:i w:val="0"/>
        </w:rPr>
        <w:t>Ключевой вопрос для практики ГОЧС – что отличает «просто подвал» от защитного сооружения гражданской обороны в юридическом смысле, а не в инженерно-техническом.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Федеральный закон от 12.02.1998 N 28-ФЗ «О гражданской обороне»</w:t>
        </w:r>
      </w:hyperlink>
      <w:r>
        <w:rPr>
          <w:b w:val="0"/>
          <w:i w:val="0"/>
        </w:rPr>
        <w:t xml:space="preserve"> закрепляет, что к задачам ГО отнесено создание, содержание и использование ЗСГО для защиты населения, а также полномочия соответствующих органов по их созданию, реконструкции и поддержанию в состоянии постоянной готовности.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Постановление Правительства РФ от 29.11.1999 N 1309 «О Порядке создания убежищ и иных объектов гражданской обороны»</w:t>
        </w:r>
      </w:hyperlink>
      <w:r>
        <w:rPr>
          <w:b w:val="0"/>
          <w:i w:val="0"/>
        </w:rPr>
        <w:t xml:space="preserve"> прямо возлагает на органы исполнительной власти субъектов РФ и органы местного самоуправления обязанности по определению потребности в объектах ГО, их созданию, сохранению и поддержанию в постоянной готовности, а также по контролю и учету таких объектов.</w:t>
      </w:r>
    </w:p>
    <w:p>
      <w:pPr>
        <w:jc w:val="both"/>
      </w:pPr>
      <w:r>
        <w:rPr>
          <w:b w:val="0"/>
          <w:i w:val="0"/>
        </w:rPr>
        <w:t>С точки зрения суда, определяющим является не текущее техническое состояние, а факт отнесения объекта к ЗСГО в установленных процедурах: наличие в перечне, утвержденном согласованными органами (Росимущество, субъект РФ, МЧС), и исходное предназначение объекта как убежища или противорадиационного укрытия, введенного в эксплуатацию до определенной даты.</w:t>
      </w:r>
    </w:p>
    <w:p>
      <w:pPr>
        <w:jc w:val="both"/>
      </w:pPr>
      <w:r>
        <w:rPr>
          <w:b w:val="0"/>
          <w:i w:val="0"/>
        </w:rPr>
        <w:t>Иначе говоря, если объект включен в официальный перечень ЗСГО, сформированный уполномоченными органами, для суда это мощный аргумент в пользу того, что он должен рассматриваться именно как объект ГО, а не как обычное подвальное помещение, даже при наличии серьезного износа и недоукомплектованности.</w:t>
      </w:r>
    </w:p>
    <w:p>
      <w:r/>
    </w:p>
    <w:p>
      <w:pPr>
        <w:jc w:val="both"/>
      </w:pPr>
      <w:r>
        <w:rPr>
          <w:b/>
          <w:i w:val="0"/>
        </w:rPr>
        <w:t>Разграничение публичной собственности: от ГК РФ к специальным законам</w:t>
      </w:r>
    </w:p>
    <w:p>
      <w:pPr>
        <w:jc w:val="both"/>
      </w:pPr>
      <w:r>
        <w:rPr>
          <w:b w:val="0"/>
          <w:i w:val="0"/>
        </w:rPr>
        <w:t>Арбитражный суд, разбирая доводы администрации, естественно вышел на общую конструкцию разграничения государственной и муниципальной собственности.</w:t>
      </w:r>
    </w:p>
    <w:p>
      <w:pPr>
        <w:jc w:val="both"/>
      </w:pPr>
      <w:r>
        <w:rPr>
          <w:b w:val="0"/>
          <w:i w:val="0"/>
        </w:rPr>
        <w:t>Гражданский кодекс РФ в статьях 214 и 215 фиксирует базовую модель: федеральная и региональная собственность как государственная, и муниципальная собственность как самостоятельный вид публичной собственности, принадлежащий муниципальным образованиям.</w:t>
      </w:r>
    </w:p>
    <w:p>
      <w:pPr>
        <w:jc w:val="both"/>
      </w:pPr>
      <w:r>
        <w:rPr>
          <w:b w:val="0"/>
          <w:i w:val="0"/>
        </w:rPr>
        <w:t>Возникший спор завязан на применении Федерального закона от 22.08.2004 N 122-ФЗ</w:t>
      </w:r>
      <w:r>
        <w:rPr>
          <w:vertAlign w:val="superscript"/>
        </w:rPr>
        <w:t>37</w:t>
      </w:r>
      <w:r>
        <w:rPr>
          <w:b w:val="0"/>
          <w:i w:val="0"/>
        </w:rPr>
        <w:t>, который детально регламентирует случаи и порядок безвозмездной передачи имущества из федеральной собственности в собственность субъектов РФ и муниципальную собственность. В части 11 статьи 154 этого закона определено, какое имущество может оставаться в федеральной собственности, а какое подлежит передаче, а также установлен механизм принятия решений и оформления передачи через передаточный акт, включая возможность его одностороннего утверждения уполномоченным органом при непредставлении подписанного акта в установленный срок.</w:t>
      </w:r>
    </w:p>
    <w:p>
      <w:pPr>
        <w:jc w:val="both"/>
      </w:pPr>
      <w:r>
        <w:rPr>
          <w:b w:val="0"/>
          <w:i w:val="0"/>
        </w:rPr>
        <w:t>Суд указал, что решения о передаче имущества из федеральной собственности принимаются федеральным органом исполнительной власти, осуществляющим полномочия собственника (Росимущество), а перечень документов для такой передачи устанавливается Правительством РФ. Органы, передающие имущество, обязаны его передать, а принимающие – обязаны принять на основании этих решений и передаточного акта, даже если согласование идет сложно.</w:t>
      </w:r>
    </w:p>
    <w:p>
      <w:pPr>
        <w:jc w:val="both"/>
      </w:pPr>
      <w:r>
        <w:rPr>
          <w:b w:val="0"/>
          <w:i w:val="0"/>
        </w:rPr>
        <w:t>В рассматриваемом деле суды признали, что спорные объекты, как ЗСГО, введенные в эксплуатацию до 21.01.1992 и включенные в перечень, подпадают под режим имущества, необходимого для реализации полномочий органов местного самоуправления в сфере ГО и защиты населения, а значит, их передача в муниципальную собственность отвечает модели разграничения полномочий и собственности, заданной 122-ФЗ и связанной с ним системой законодательства.</w:t>
      </w:r>
    </w:p>
    <w:p>
      <w:r/>
    </w:p>
    <w:p>
      <w:pPr>
        <w:jc w:val="both"/>
      </w:pPr>
      <w:r>
        <w:rPr>
          <w:b/>
          <w:i w:val="0"/>
        </w:rPr>
        <w:t>Полномочия муниципалитетов и органов ГОЧС: где возникает обязанность, а не право</w:t>
      </w:r>
    </w:p>
    <w:p>
      <w:pPr>
        <w:jc w:val="both"/>
      </w:pPr>
      <w:r>
        <w:rPr>
          <w:b w:val="0"/>
          <w:i w:val="0"/>
        </w:rPr>
        <w:t>Для специалистов ГОЧС ключевым выводом из постановления становится напоминание: участие муниципалитета в системе ГО – это не факультативная опция, а прямая обязанность, жестко прописанная в законе.</w:t>
      </w:r>
    </w:p>
    <w:p>
      <w:pPr>
        <w:jc w:val="both"/>
      </w:pPr>
      <w:r>
        <w:rPr>
          <w:b w:val="0"/>
          <w:i w:val="0"/>
        </w:rPr>
        <w:t>Федеральный закон от 06.10.2003 N 131-ФЗ "Об общих принципах организации местного самоуправления в Российской Федерации" относит к вопросам органов местного самоуправления организацию и осуществление мероприятий по территориальной обороне и гражданской обороне, защите населения и территории от чрезвычайных ситуаций, а также поддержание в состоянии постоянной готовности систем оповещения и объектов ГО, создание и содержание резервов материальных, продовольственных, медицинских и иных средств.</w:t>
      </w:r>
    </w:p>
    <w:p>
      <w:pPr>
        <w:jc w:val="both"/>
      </w:pPr>
      <w:r>
        <w:rPr>
          <w:b w:val="0"/>
          <w:i w:val="0"/>
        </w:rPr>
        <w:t>В развитие этого Закон о гражданской обороне закрепляет самостоятельные полномочия органов местного самоуправления по проведению мероприятий ГО, разработке и реализации планов ГО и защиты населения, созданию и поддержанию в постоянной готовности муниципальных систем оповещения, защитных сооружений и других объектов ГО, а также по созданию и содержанию сил и средств ГО для решения вопросов местного значения.</w:t>
      </w:r>
    </w:p>
    <w:p>
      <w:pPr>
        <w:jc w:val="both"/>
      </w:pPr>
      <w:r>
        <w:rPr>
          <w:b w:val="0"/>
          <w:i w:val="0"/>
        </w:rPr>
        <w:t>Суд логично пришел к выводу, что если обеспечение готовности объектов ГО прямо отнесено к вопросам местного значения, то нахождение соответствующих защитных сооружений в муниципальной собственности не только допустимо, но и естественно с точки зрения системной интерпретации закона. И ссылаться на нежелание нести расходы на содержание таких объектов для отказа от их принятия в собственность, по сути, означает ставить бюджетную логику выше законодательно закрепленных задач ГО.</w:t>
      </w:r>
    </w:p>
    <w:p>
      <w:r/>
    </w:p>
    <w:p>
      <w:pPr>
        <w:jc w:val="both"/>
      </w:pPr>
      <w:r>
        <w:rPr>
          <w:b/>
          <w:i w:val="0"/>
        </w:rPr>
        <w:t>Поручение Президента и новая волна инвентаризации убежищ</w:t>
      </w:r>
    </w:p>
    <w:p>
      <w:pPr>
        <w:jc w:val="both"/>
      </w:pPr>
      <w:r>
        <w:rPr>
          <w:b w:val="0"/>
          <w:i w:val="0"/>
        </w:rPr>
        <w:t>Важная деталь: суд установил, что оспариваемые распоряжения Росимущества были приняты фактически во исполнение поручения Президента РФ от 11.10.2022 N Пр-1918, направленного на системное наведение порядка в учете и правовом статусе ЗСГО, включая вопрос их передачи на уровень субъектов и муниципалитетов.</w:t>
      </w:r>
    </w:p>
    <w:p>
      <w:pPr>
        <w:jc w:val="both"/>
      </w:pPr>
      <w:r>
        <w:rPr>
          <w:b w:val="0"/>
          <w:i w:val="0"/>
        </w:rPr>
        <w:t>Для практиков ГОЧС это означает, что текущая волна инвентаризации, актуализации перечней защитных сооружений и их передачи в собственность муниципальных образований – не разовая инициатива территориальных органов Росимущества или МЧС. Это исполнение политически значимого поручения, а, следовательно, вектор на перевод объектов ГО «на уровень ближе к населению» в ближайшие годы сохранится и будет усиливаться.</w:t>
      </w:r>
    </w:p>
    <w:p>
      <w:pPr>
        <w:jc w:val="both"/>
      </w:pPr>
      <w:r>
        <w:rPr>
          <w:b w:val="0"/>
          <w:i w:val="0"/>
        </w:rPr>
        <w:t>Суд учел и тот факт, что перечень ЗСГО по спорным объектам был утвержден по согласованию нескольких уровней власти: Росимущество, губернатор субъекта РФ и ГУ МЧС России по региону. Такая многоступенчатая процедура делает последующее оспаривание муниципалитетом статуса объектов уже на стадии передачи заведомо затруднительным: суд видит согласованную позицию федерального центра, региона и профильного федерального органа (МЧС) и исходит из презумпции законности их согласованных действий.</w:t>
      </w:r>
    </w:p>
    <w:p>
      <w:r/>
    </w:p>
    <w:p>
      <w:pPr>
        <w:jc w:val="both"/>
      </w:pPr>
      <w:r>
        <w:rPr>
          <w:b/>
          <w:i w:val="0"/>
        </w:rPr>
        <w:t>Аргументы администрации и логика судов</w:t>
      </w:r>
    </w:p>
    <w:p>
      <w:pPr>
        <w:jc w:val="both"/>
      </w:pPr>
      <w:r>
        <w:rPr>
          <w:b w:val="0"/>
          <w:i w:val="0"/>
        </w:rPr>
        <w:t>Администрация Арамильского городского округа строила свою позицию на нескольких ключевых тезисах.</w:t>
      </w:r>
    </w:p>
    <w:p>
      <w:pPr>
        <w:jc w:val="both"/>
      </w:pPr>
      <w:r>
        <w:rPr>
          <w:b w:val="0"/>
          <w:i w:val="0"/>
        </w:rPr>
        <w:t>Во-первых, спорные помещения, по мнению муниципалитета, фактически не обладали признаками ЗСГО: отсутствовали системы вентиляции, измерительные приборы, оборудование и инвентарь, а состояние объектов не обеспечивало постоянную готовность. Эти выводы подтверждались актами инвентаризации 2018 и 2023 годов и паспортами убежищ, где соответствующие разделы были либо пустыми, либо содержали указания на отсутствие оснащения.</w:t>
      </w:r>
    </w:p>
    <w:p>
      <w:pPr>
        <w:jc w:val="both"/>
      </w:pPr>
      <w:r>
        <w:rPr>
          <w:b w:val="0"/>
          <w:i w:val="0"/>
        </w:rPr>
        <w:t>Во-вторых, администрация указывала на нарушение порядка передачи федерального имущества, установленного частью 11 статьи 154 122-ФЗ: по ее мнению, предложения о передаче от муниципалитета не направлялись, решения приняты Росимуществом односторонне, без волеизъявления округа, а неудовлетворительное состояние объектов объясняет отказ муниципалитета принимать их в собственность.</w:t>
      </w:r>
    </w:p>
    <w:p>
      <w:pPr>
        <w:jc w:val="both"/>
      </w:pPr>
      <w:r>
        <w:rPr>
          <w:b w:val="0"/>
          <w:i w:val="0"/>
        </w:rPr>
        <w:t>Суды апелляционной и кассационной инстанций последовательно отвергли эти доводы. Во-первых, они исходили из того, что неудовлетворительное состояние объектов и необходимость капитальных вложений не отменяют их правовой природы как ЗСГО и не могут служить основанием для признания незаконными распоряжений о передаче.</w:t>
      </w:r>
    </w:p>
    <w:p>
      <w:pPr>
        <w:jc w:val="both"/>
      </w:pPr>
      <w:r>
        <w:rPr>
          <w:b w:val="0"/>
          <w:i w:val="0"/>
        </w:rPr>
        <w:t>Во-вторых, суд указал, что решение о передаче принимается уполномоченным федеральным органом, а непредставление подписанного передаточного акта в установленный срок дает основание для его одностороннего утверждения. Иными словами, отсутствие активного согласия муниципалитета, само по себе, не блокирует правомерность передачи.</w:t>
      </w:r>
    </w:p>
    <w:p>
      <w:pPr>
        <w:jc w:val="both"/>
      </w:pPr>
      <w:r>
        <w:rPr>
          <w:b w:val="0"/>
          <w:i w:val="0"/>
        </w:rPr>
        <w:t>В-третьих, суд не усмотрел доказанного нарушения прав и законных интересов администрации в сфере предпринимательской и иной экономической деятельности, что является обязательным элементом для признания ненормативного акта недействительным по правилам статей 198 и 201 АПК РФ.</w:t>
      </w:r>
    </w:p>
    <w:p>
      <w:r/>
    </w:p>
    <w:p>
      <w:pPr>
        <w:jc w:val="both"/>
      </w:pPr>
      <w:r>
        <w:rPr>
          <w:b/>
          <w:i w:val="0"/>
        </w:rPr>
        <w:t>Значение постановления для практики ГО и ЖКХ</w:t>
      </w:r>
    </w:p>
    <w:p>
      <w:pPr>
        <w:jc w:val="both"/>
      </w:pPr>
      <w:r>
        <w:rPr>
          <w:b w:val="0"/>
          <w:i w:val="0"/>
        </w:rPr>
        <w:t>Для системы ГО и одновременно для жилищно-коммунальной сферы рассмотренное дело – наглядный индикатор сдвига акцентов: от прежнего «ничейного» состояния множества подвалов-убежищ к более жесткому закреплению их за конкретными публичными собственниками и к возложению на них ответственности за готовность.</w:t>
      </w:r>
    </w:p>
    <w:p>
      <w:pPr>
        <w:jc w:val="both"/>
      </w:pPr>
      <w:r>
        <w:rPr>
          <w:b w:val="0"/>
          <w:i w:val="0"/>
        </w:rPr>
        <w:t>Муниципалитеты, оказавшиеся собственниками таких объектов, нередко воспринимают их как чистый финансовый риск: необходимость капитального ремонта, модернизации вентиляции, закупки оборудования, обеспечения круглогодичной доступности. Но судебная практика демонстрирует, что попытки уйти от этой нагрузки через оспаривание самих распоряжений о передаче шансов имеют немного, особенно если объекты включены в перечни, утвержденные в соответствии с поручениями федерального уровня и при согласовании с МЧС.</w:t>
      </w:r>
    </w:p>
    <w:p>
      <w:pPr>
        <w:jc w:val="both"/>
      </w:pPr>
      <w:r>
        <w:rPr>
          <w:b w:val="0"/>
          <w:i w:val="0"/>
        </w:rPr>
        <w:t>С точки зрения органов ГОЧС, постановление Арбитражного суда Уральского округа – серьезный аргумент в диалоге с муниципальными властями и финансово-экономическими службами: статус защитного сооружения и возложенные законом задачи ГО делают содержание и приведение таких объектов в готовность не вопросом «хотим – не хотим», а элементом обязательных публично-правовых функций.</w:t>
      </w:r>
    </w:p>
    <w:p>
      <w:r/>
    </w:p>
    <w:p>
      <w:pPr>
        <w:jc w:val="both"/>
      </w:pPr>
      <w:r>
        <w:rPr>
          <w:b/>
          <w:i w:val="0"/>
        </w:rPr>
        <w:t>Практические рекомендации органам ГОЧС и муниципалитетам</w:t>
      </w:r>
    </w:p>
    <w:p>
      <w:pPr>
        <w:jc w:val="both"/>
      </w:pPr>
      <w:r>
        <w:rPr>
          <w:b w:val="0"/>
          <w:i w:val="0"/>
        </w:rPr>
        <w:t>Из анализа арбитражного дела можно извлечь несколько практических подходов, которые помогут выстроить более управляемую работу с защитными сооружениями ГО и снизить риск судебных конфликтов.</w:t>
      </w:r>
    </w:p>
    <w:p>
      <w:pPr>
        <w:jc w:val="both"/>
      </w:pPr>
      <w:r>
        <w:rPr>
          <w:b w:val="0"/>
          <w:i w:val="0"/>
        </w:rPr>
        <w:t>Первое направление – системная инвентаризация и паспортизация объектов ГО с участием структур ГОЧС, органов архитектуры, ЖКХ, ресурсоснабжающих организаций. Наличие актуальных паспортов убежищ, актов обследования, заключений о техническом состоянии и смет на восстановительные работы позволяет не только объективно оценить масштаб проблем, но и вести предметный диалог с регионом и федерацией о софинансировании и включении объектов в целевые программы.</w:t>
      </w:r>
    </w:p>
    <w:p>
      <w:pPr>
        <w:jc w:val="both"/>
      </w:pPr>
      <w:r>
        <w:rPr>
          <w:b w:val="0"/>
          <w:i w:val="0"/>
        </w:rPr>
        <w:t>Второе направление – проактивное участие в формировании и согласовании перечней ЗСГО. На стадии подготовки перечней важно вовлекать муниципальные комиссии по ГО и ЧС, юридические подразделения, собственников и пользователей зданий, где размещены подвалы-убежища. Это позволяет до утверждения перечня зафиксировать возможные возражения, оформить разногласия документально, предложить альтернативные решения (консервация, реконструкция, замена на иные объекты).</w:t>
      </w:r>
    </w:p>
    <w:p>
      <w:pPr>
        <w:jc w:val="both"/>
      </w:pPr>
      <w:r>
        <w:rPr>
          <w:b w:val="0"/>
          <w:i w:val="0"/>
        </w:rPr>
        <w:t>Третье направление – заблаговременное планирование бюджетной нагрузки. После передачи объектов в муниципальную собственность внезапный поиск средств на капитальный ремонт всегда воспринимается болезненно. Формирование среднесрочных программ приведения ЗСГО в нормативное состояние с разбивкой по этапам, источникам финансирования и ожидаемым результатам делает процесс более управляемым, а не стихийным.</w:t>
      </w:r>
    </w:p>
    <w:p>
      <w:r/>
    </w:p>
    <w:p>
      <w:pPr>
        <w:jc w:val="both"/>
      </w:pPr>
      <w:r>
        <w:rPr>
          <w:b/>
          <w:i w:val="0"/>
        </w:rPr>
        <w:t>Работа с технически проблемными объектами ГО: как действовать, если убежище – это фактически сырой подвал</w:t>
      </w:r>
    </w:p>
    <w:p>
      <w:pPr>
        <w:jc w:val="both"/>
      </w:pPr>
      <w:r>
        <w:rPr>
          <w:b w:val="0"/>
          <w:i w:val="0"/>
        </w:rPr>
        <w:t>Вышеописанная ситуация типична: по паспорту – убежище, по факту – сырой подвал без вентиляции, оборудования и с большим объемом необходимых вложений.</w:t>
      </w:r>
    </w:p>
    <w:p>
      <w:pPr>
        <w:jc w:val="both"/>
      </w:pPr>
      <w:r>
        <w:rPr>
          <w:b w:val="0"/>
          <w:i w:val="0"/>
        </w:rPr>
        <w:t>Первая реакция муниципалитета – попытаться доказать, что объект никогда не был полноценным защитным сооружением или давно утратил такие свойства. Но судебная практика показывает: если объект включен в перечень ЗСГО, утвержденный уполномоченными органами, и имеются формальные признаки изначального целевого назначения, то сделать вид, что это «просто подвал», почти нереально.</w:t>
      </w:r>
    </w:p>
    <w:p>
      <w:pPr>
        <w:jc w:val="both"/>
      </w:pPr>
      <w:r>
        <w:rPr>
          <w:b w:val="0"/>
          <w:i w:val="0"/>
        </w:rPr>
        <w:t>Более конструктивный путь – работать в двух направлениях. В инженерном направлении – добиваться проведения обследования и подготовки проектных решений по приведению объекта в состояние, соответствующее требованиям к защитным сооружениям. В правовом и управленческом направлении – инициировать включение таких объектов в федеральные, региональные или ведомственные программы модернизации и капремонта объектов ГО, добиваться перераспределения нагрузки между уровнями бюджета, использовать инструменты концессий и государственно-частного партнерства там, где это реально применимо.</w:t>
      </w:r>
    </w:p>
    <w:p>
      <w:pPr>
        <w:jc w:val="both"/>
      </w:pPr>
      <w:r>
        <w:rPr>
          <w:b w:val="0"/>
          <w:i w:val="0"/>
        </w:rPr>
        <w:t>Важный нюанс: даже если довести техническое состояние объекта до нормативного уровня невозможно без колоссальных затрат, это не означает, что статус объекта ГО исчезает автоматически. В таких случаях разумно добиваться принятия индивидуальных решений уполномоченных органов о консервации, списании или изменении статуса сооружения, но делать это нужно в правовых рамках, а не через отрицание фактов включения объекта в перечень и оспаривание актов передачи как таковых.</w:t>
      </w:r>
    </w:p>
    <w:p>
      <w:r/>
    </w:p>
    <w:p>
      <w:pPr>
        <w:jc w:val="both"/>
      </w:pPr>
      <w:r>
        <w:rPr>
          <w:b w:val="0"/>
          <w:i w:val="0"/>
        </w:rPr>
        <w:t>Минимизация рисков судебных споров</w:t>
      </w:r>
    </w:p>
    <w:p>
      <w:pPr>
        <w:jc w:val="both"/>
      </w:pPr>
      <w:r>
        <w:rPr>
          <w:b w:val="0"/>
          <w:i w:val="0"/>
        </w:rPr>
        <w:t>Рассмотренное дело показывает, что спор по линии «Росимущество – муниципалитет» вокруг ЗСГО в большинстве случаев заранее проигрышен для муниципального уровня, если строится исключительно на аргументах о плохом состоянии объекта и высокой стоимости его содержания.</w:t>
      </w:r>
    </w:p>
    <w:p>
      <w:pPr>
        <w:jc w:val="both"/>
      </w:pPr>
      <w:r>
        <w:rPr>
          <w:b w:val="0"/>
          <w:i w:val="0"/>
        </w:rPr>
        <w:t>Для минимизации рисков полезно придерживаться нескольких принципов. Во-первых, не игнорировать процедуры согласования и оформления передачи имущества: позиция «ничего не подписывать» в расчете на блокирование процесса, как видно, не срабатывает, поскольку закон допускает одностороннее утверждение передаточного акта.</w:t>
      </w:r>
    </w:p>
    <w:p>
      <w:pPr>
        <w:jc w:val="both"/>
      </w:pPr>
      <w:r>
        <w:rPr>
          <w:b w:val="0"/>
          <w:i w:val="0"/>
        </w:rPr>
        <w:t>Во-вторых, фиксировать свои возражения и предложения в письменном виде, направляя их в Росимущество, органы субъекта, ГУ МЧС, прокуратуру. Это не остановит саму передачу, но создаст базу для последующей работы по привлечению софинансирования и корректировке планов ГО на территории.</w:t>
      </w:r>
    </w:p>
    <w:p>
      <w:pPr>
        <w:jc w:val="both"/>
      </w:pPr>
      <w:r>
        <w:rPr>
          <w:b w:val="0"/>
          <w:i w:val="0"/>
        </w:rPr>
        <w:t>В-третьих, выстраивать постоянную коммуникацию с надзорными органами – прокуратурой, органами МЧС, органами государственного строительного надзора. В ситуации, когда объект ГО объективно не может выполнять свои функции, согласованная позиция с надзором и наличие совместных актов и планов мероприятий часто оказываются эффективнее, чем попытка спорить с Росимуществом в арбитражном суде.</w:t>
      </w:r>
    </w:p>
    <w:p>
      <w:r/>
    </w:p>
    <w:p>
      <w:pPr>
        <w:jc w:val="both"/>
      </w:pPr>
      <w:r>
        <w:rPr>
          <w:b/>
          <w:i w:val="0"/>
        </w:rPr>
        <w:t>Небольшое отступление: ГО как “невидимая инфраструктура” города</w:t>
      </w:r>
    </w:p>
    <w:p>
      <w:pPr>
        <w:jc w:val="both"/>
      </w:pPr>
      <w:r>
        <w:rPr>
          <w:b w:val="0"/>
          <w:i w:val="0"/>
        </w:rPr>
        <w:t>История с подвалами в г. Арамиль на самом деле поднимает более широкий, почти философский вопрос: как в массовом сознании воспринимается гражданская оборона. Для большинства жителей города ЗСГО – это либо забытые советские убежища, либо нечто из учебников по истории, но не реальная часть городской инфраструктуры.</w:t>
      </w:r>
    </w:p>
    <w:p>
      <w:pPr>
        <w:jc w:val="both"/>
      </w:pPr>
      <w:r>
        <w:rPr>
          <w:b w:val="0"/>
          <w:i w:val="0"/>
        </w:rPr>
        <w:t>Пока объект ГО не фигурирует в счете за коммунальные услуги и не требует капитальных вложений, про него вспоминают только в отчетных таблицах. Но в тот момент, когда он «всплывает» в виде конкретной строки расходов бюджета, появляется соблазн от него дистанцироваться. Судебная практика вроде рассмотренного арбитражного дела возвращает всю систему к исходной точке: защитное сооружение ГО – не факультативный объект благоустройства, а элемент оборонной инфраструктуры, встроенный в городской организм.</w:t>
      </w:r>
    </w:p>
    <w:p>
      <w:pPr>
        <w:jc w:val="both"/>
      </w:pPr>
      <w:r>
        <w:rPr>
          <w:b w:val="0"/>
          <w:i w:val="0"/>
        </w:rPr>
        <w:t>Для органов ГОЧС полезно использовать подобные кейсы как аргумент в пользу включения вопросов ГО в стратегические документы развития территории, программы комплексного развития коммунальной инфраструктуры, схемы территориального планирования. Ведь если убежища по-прежнему воспринимать как «лишние подвалы», то любые юридические и финансовые конфликты вокруг них будут повторяться и дальше.</w:t>
      </w:r>
    </w:p>
    <w:p>
      <w:r/>
    </w:p>
    <w:p>
      <w:pPr>
        <w:jc w:val="both"/>
      </w:pPr>
      <w:r>
        <w:rPr>
          <w:b/>
          <w:i w:val="0"/>
        </w:rPr>
        <w:t>Практические шаги для органов ГОЧС и администраций</w:t>
      </w:r>
    </w:p>
    <w:p>
      <w:pPr>
        <w:jc w:val="both"/>
      </w:pPr>
      <w:r>
        <w:rPr>
          <w:b w:val="0"/>
          <w:i w:val="0"/>
        </w:rPr>
        <w:t>Если перевести выводы из постановления суда на язык практических действий, то для органов ГОЧС и муниципальных администраций можно выделить несколько ключевых направлений работы:</w:t>
      </w:r>
    </w:p>
    <w:p>
      <w:pPr>
        <w:jc w:val="both"/>
      </w:pPr>
      <w:r>
        <w:rPr>
          <w:b w:val="0"/>
          <w:i w:val="0"/>
        </w:rPr>
        <w:t>1) подготовить или актуализировать реестр всех ЗСГО на территории, включая объекты в многоквартирных домах, ведомственных зданиях и производственных комплексах, с указанием правового статуса (собственность, аренда, иное вещное право), технического состояния и наличия проектной документации;</w:t>
      </w:r>
    </w:p>
    <w:p>
      <w:pPr>
        <w:jc w:val="both"/>
      </w:pPr>
      <w:r>
        <w:rPr>
          <w:b w:val="0"/>
          <w:i w:val="0"/>
        </w:rPr>
        <w:t>2) добиться согласованности этих данных с региональным и федеральным учетом, в том числе с данными Росимущества и МЧС; при обнаружении расхождений инициировать совместные комиссии и инвентаризационные мероприятия;</w:t>
      </w:r>
    </w:p>
    <w:p>
      <w:pPr>
        <w:jc w:val="both"/>
      </w:pPr>
      <w:r>
        <w:rPr>
          <w:b w:val="0"/>
          <w:i w:val="0"/>
        </w:rPr>
        <w:t>3) встроить мероприятия по приведению объектов ГО в готовность в муниципальные программы ГО и ЧС, программы капитального ремонта муниципального имущества, а там, где это возможно, – в региональные и федеральные программы модернизации коммунальной инфраструктуры и ЖКХ;</w:t>
      </w:r>
    </w:p>
    <w:p>
      <w:pPr>
        <w:jc w:val="both"/>
      </w:pPr>
      <w:r>
        <w:rPr>
          <w:b w:val="0"/>
          <w:i w:val="0"/>
        </w:rPr>
        <w:t>4) организовать регулярное обучение и информирование руководителей коммунальных предприятий, управляющих организаций и ТСЖ о правовом статусе ЗСГО, их обязанностях по обеспечению доступа, эксплуатации инженерных систем, соблюдению ограничений по использованию помещений;</w:t>
      </w:r>
    </w:p>
    <w:p>
      <w:pPr>
        <w:jc w:val="both"/>
      </w:pPr>
      <w:r>
        <w:rPr>
          <w:b w:val="0"/>
          <w:i w:val="0"/>
        </w:rPr>
        <w:t>5) разработать внутримуниципальные регламенты взаимодействия юридической службы, подразделений ГОЧС, департаментов имущества и ЖКХ при поступлении инициатив о передаче объектов в муниципальную собственность, чтобы реакция была выстроена единая, а не спонтанная и разнонаправленная.</w:t>
      </w:r>
    </w:p>
    <w:p>
      <w:r/>
    </w:p>
    <w:p>
      <w:pPr>
        <w:jc w:val="both"/>
      </w:pPr>
      <w:r>
        <w:rPr>
          <w:b/>
          <w:i w:val="0"/>
        </w:rPr>
        <w:t>Итоги и вопросы к дальнейшей практике</w:t>
      </w:r>
    </w:p>
    <w:p>
      <w:pPr>
        <w:jc w:val="both"/>
      </w:pPr>
      <w:r>
        <w:rPr>
          <w:b w:val="0"/>
          <w:i w:val="0"/>
        </w:rPr>
        <w:t>Постановление арбитражного суда закрепило важный для всей системы ГО и местного самоуправления тезис: неудовлетворительное состояние защитных сооружений и отсутствие желания нести расходы на их содержание не освобождают муниципалитет от обязанностей, возложенных на него федеральным законодательством, и не являются основанием для признания незаконными решений о передаче таких объектов в муниципальную собственность.</w:t>
      </w:r>
    </w:p>
    <w:p>
      <w:pPr>
        <w:jc w:val="both"/>
      </w:pPr>
      <w:r>
        <w:rPr>
          <w:b w:val="0"/>
          <w:i w:val="0"/>
        </w:rPr>
        <w:t>Фактически суд подтвердил, что сегодня государство последовательно переводит ЗСГО на уровень тех органов власти, которые непосредственно отвечают за жизнь и безопасность населения на конкретной территории. Для системы ГОЧС это и шанс, и вызов: шанс – потому что появляется возможность выстроить более управляемую и прозрачную систему работы с убежищами и укрытиями, вызов – потому что финансовая и организационная нагрузка на муниципальный уровень объективно возрастает.</w:t>
      </w:r>
    </w:p>
    <w:p>
      <w:pPr>
        <w:jc w:val="both"/>
      </w:pPr>
      <w:r>
        <w:rPr>
          <w:b w:val="0"/>
          <w:i w:val="0"/>
        </w:rPr>
        <w:t>Останется ли в этих условиях подход к подвалам-убежищам как к «лишним» помещениям, от которых выгоднее отказываться, или же они начнут восприниматься как часть реальной инфраструктуры безопасности города – во многом зависит от того, насколько активно органы ГОЧС включатся в планирование, правовое сопровождение и межуровневое взаимодействие. И не станет ли следующим шагом судебной практики уже ответственность за неприготовленные к использованию защитные сооружения, которые формально числятся в реестрах муниципальной собственности?</w:t>
      </w:r>
    </w:p>
    <w:p>
      <w:r/>
    </w:p>
    <w:p>
      <w:r/>
    </w:p>
    <w:p>
      <w:r/>
    </w:p>
    <w:p/>
    <w:p>
      <w:r>
        <w:rPr>
          <w:b/>
        </w:rPr>
        <w:t>Примечания</w:t>
      </w:r>
    </w:p>
    <w:p>
      <w:r>
        <w:t>37. Полное название документа – Федеральный закон от 22.08.2004 N 122-ФЗ (ред. от 07.06.2025) 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Российской Федерации" и "Об общих принципах организации местного самоуправления в Российской Федерации".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MtZzky-s2yK-2elD9EBwfb0AO1Llziyr/edit?usp=drivesdk&amp;ouid=107636637261335910720&amp;rtpof=true&amp;sd=true" TargetMode="External"/><Relationship Id="rId10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1" Type="http://schemas.openxmlformats.org/officeDocument/2006/relationships/hyperlink" Target="https://docs.google.com/document/d/17UGcBgi-giQ7Xeq8Bxgkus-eM65EJYXO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