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ПОЛЕЗНАЯ ИНФОРМАЦИЯ</w:t>
      </w:r>
    </w:p>
    <w:p>
      <w:r>
        <w:rPr>
          <w:b/>
        </w:rPr>
        <w:t>Рубрика: ПОЛЕЗНАЯ ИНФОРМАЦИЯ</w:t>
        <w:br/>
      </w:r>
    </w:p>
    <w:p/>
    <w:p>
      <w:r/>
    </w:p>
    <w:p>
      <w:r/>
    </w:p>
    <w:p>
      <w:pPr>
        <w:jc w:val="both"/>
      </w:pPr>
      <w:r>
        <w:rPr>
          <w:b/>
          <w:i w:val="0"/>
        </w:rPr>
        <w:t>С 1 сентября пострадавшие от чрезвычайных ситуаций могут взять дополнительный выходной и отпуск без содержания</w:t>
      </w:r>
    </w:p>
    <w:p>
      <w:pPr>
        <w:jc w:val="both"/>
      </w:pPr>
      <w:r>
        <w:rPr>
          <w:b w:val="0"/>
          <w:i w:val="0"/>
        </w:rPr>
        <w:t xml:space="preserve">Федеральным законом от 09.04.2026 N 90-ФЗ в Трудовой кодекс РФ внесены изменения в статью 128 "Отпуск без сохранения заработной платы", а также введена новая статья 186.1 "Гарантии и компенсации работникам при возникновении ЧС природного и техногенного характера". Закреплено право граждан, пострадавших в результате ЧС природного и техногенного характера, на предоставление дополнительного оплачиваемого выходного дня и отпуска без сохранения заработной платы до 5 календарных дней. </w:t>
      </w:r>
    </w:p>
    <w:p>
      <w:pPr>
        <w:jc w:val="both"/>
      </w:pPr>
      <w:r>
        <w:rPr>
          <w:b w:val="0"/>
          <w:i w:val="0"/>
        </w:rPr>
        <w:t>Правила предоставления работникам дополнительного выходного дня с сохранением среднего заработка и (или) отпуска без сохранения заработной платы до 5 календарных дней при ЧС</w:t>
      </w:r>
      <w:r>
        <w:rPr>
          <w:vertAlign w:val="superscript"/>
        </w:rPr>
        <w:t>38</w:t>
      </w:r>
      <w:hyperlink r:id="rId9">
        <w:r>
          <w:rPr>
            <w:color w:val="0563C1"/>
            <w:u w:val="single"/>
          </w:rPr>
          <w:t xml:space="preserve"> утверждены Постановлением Правительства РФ от 28.05.2026 N 620</w:t>
        </w:r>
      </w:hyperlink>
      <w:r>
        <w:rPr>
          <w:b w:val="0"/>
          <w:i w:val="0"/>
        </w:rPr>
        <w:t xml:space="preserve"> и начинают действовать с 1 сентября . Документ устанавливает порядок и условия предоставления работникам, фактически проживающим в жилых помещениях, находящихся в зонах ЧС, в случае нарушения условий их жизнедеятельности и утраты ими имущества в результате ЧС дополнительного выходного дня с сохранением среднего заработка и (или) отпуска без сохранения заработной платы до 5 календарных дней. </w:t>
      </w:r>
    </w:p>
    <w:p>
      <w:pPr>
        <w:jc w:val="both"/>
      </w:pPr>
      <w:r>
        <w:rPr>
          <w:b w:val="0"/>
          <w:i w:val="0"/>
        </w:rPr>
        <w:t xml:space="preserve">Работнику по его заявлению о предоставлении дополнительного выходного дня в случае установления фактов его проживания в жилом помещении, находящемся в зоне ЧС, нарушения условий его жизнедеятельности и утраты им имущества в результате ЧС предоставляется дополнительный выходной день с сохранением среднего заработка. </w:t>
      </w:r>
    </w:p>
    <w:p>
      <w:pPr>
        <w:jc w:val="both"/>
      </w:pPr>
      <w:r>
        <w:rPr>
          <w:b w:val="0"/>
          <w:i w:val="0"/>
        </w:rPr>
        <w:t xml:space="preserve">Работнику по его заявлению о предоставлении отпуска без сохранения заработной платы в случае установления фактов его проживания в жилом помещении, находящемся в зоне ЧС, нарушения условий его жизнедеятельности и утраты им имущества в результате ЧС предоставляется отпуск без сохранения заработной платы до 5 календарных дней (далее – отпуск без сохранения заработной платы). </w:t>
      </w:r>
    </w:p>
    <w:p>
      <w:pPr>
        <w:jc w:val="both"/>
      </w:pPr>
      <w:r>
        <w:rPr>
          <w:b w:val="0"/>
          <w:i w:val="0"/>
        </w:rPr>
        <w:t xml:space="preserve">Заявления подаются работодателю в срок не позднее 5 рабочих дней со дня установления фактов проживания работника в жилом помещении, находящемся в зоне ЧС, нарушения условий его жизнедеятельности и утраты им имущества в результате ЧС федерального, межрегионального, регионального, межмуниципального или муниципального характера. </w:t>
      </w:r>
    </w:p>
    <w:p>
      <w:pPr>
        <w:jc w:val="both"/>
      </w:pPr>
      <w:r>
        <w:rPr>
          <w:b w:val="0"/>
          <w:i w:val="0"/>
        </w:rPr>
        <w:t xml:space="preserve">Работнику предоставляются: </w:t>
      </w:r>
    </w:p>
    <w:p>
      <w:pPr>
        <w:jc w:val="both"/>
      </w:pPr>
      <w:r>
        <w:rPr>
          <w:b w:val="0"/>
          <w:i w:val="0"/>
        </w:rPr>
        <w:t xml:space="preserve">- дополнительный оплачиваемый выходной день в течение 10 календарных дней со дня подачи заявления; </w:t>
      </w:r>
    </w:p>
    <w:p>
      <w:pPr>
        <w:jc w:val="both"/>
      </w:pPr>
      <w:r>
        <w:rPr>
          <w:b w:val="0"/>
          <w:i w:val="0"/>
        </w:rPr>
        <w:t xml:space="preserve">- отпуск без сохранения заработной платы в течение 20 календарных дней со дня подачи заявления. </w:t>
      </w:r>
    </w:p>
    <w:p>
      <w:pPr>
        <w:jc w:val="both"/>
      </w:pPr>
      <w:r>
        <w:rPr>
          <w:b w:val="0"/>
          <w:i w:val="0"/>
        </w:rPr>
        <w:t xml:space="preserve">Предоставление дополнительного оплачиваемого выходного дня, отпуска без сохранения заработной платы оформляется приказом (распоряжением) работодателя. </w:t>
      </w:r>
    </w:p>
    <w:p>
      <w:r/>
    </w:p>
    <w:p>
      <w:pPr>
        <w:jc w:val="both"/>
      </w:pPr>
      <w:r>
        <w:rPr>
          <w:b/>
          <w:i w:val="0"/>
        </w:rPr>
        <w:t>Заглубленные помещения, приспособленные для укрытия населения: определение, задачи, требования</w:t>
      </w:r>
    </w:p>
    <w:p>
      <w:pPr>
        <w:jc w:val="both"/>
      </w:pPr>
      <w:r>
        <w:rPr>
          <w:b w:val="0"/>
          <w:i w:val="0"/>
        </w:rPr>
        <w:t xml:space="preserve">Под заглубленными помещениями, приспособленными для укрытия населения, понимается часть объема здания или сооружения, полностью или частично заглубленного в грунт, ограниченного ограждающими и несущими строительными конструкциями, предназначенная для защиты укрываемого населения от фугасного и осколочного действий обычных средств поражения, поражения обломками строительных конструкций, а также от обрушения конструкций вышерасположенных этажей зданий различной этажности. В частности, к заглубленным помещениям относятся следующие помещения: </w:t>
      </w:r>
    </w:p>
    <w:p>
      <w:pPr>
        <w:jc w:val="both"/>
      </w:pPr>
      <w:r>
        <w:rPr>
          <w:b w:val="0"/>
          <w:i w:val="0"/>
        </w:rPr>
        <w:t xml:space="preserve">- подвалы сооружений и зданий, в том числе жилых; </w:t>
      </w:r>
    </w:p>
    <w:p>
      <w:pPr>
        <w:jc w:val="both"/>
      </w:pPr>
      <w:r>
        <w:rPr>
          <w:b w:val="0"/>
          <w:i w:val="0"/>
        </w:rPr>
        <w:t xml:space="preserve">- гаражи, складские помещения, расположенные в подвальных этажах отдельно стоящих зданий, в том числе торговых центрах, а также сооружения метрополитена; </w:t>
      </w:r>
    </w:p>
    <w:p>
      <w:pPr>
        <w:jc w:val="both"/>
      </w:pPr>
      <w:r>
        <w:rPr>
          <w:b w:val="0"/>
          <w:i w:val="0"/>
        </w:rPr>
        <w:t xml:space="preserve">- помещения транспортных сооружений городской инфраструктуры (тоннели, переходы и т.п.). </w:t>
      </w:r>
    </w:p>
    <w:p>
      <w:pPr>
        <w:jc w:val="both"/>
      </w:pPr>
      <w:r>
        <w:rPr>
          <w:b w:val="0"/>
          <w:i w:val="0"/>
        </w:rPr>
        <w:t xml:space="preserve">Общие требования к приспособлению заглубленных помещений существующих и проектируемых зданий для защиты укрываемых от фугасного и осколочного действий обычных средств поражения, поражения обломками строительных конструкций, при обрушении вышерасположенных этажей зданий различной этажности содержатся в </w:t>
      </w:r>
      <w:hyperlink r:id="rId10">
        <w:r>
          <w:rPr>
            <w:color w:val="0563C1"/>
            <w:u w:val="single"/>
          </w:rPr>
          <w:t xml:space="preserve">ГОСТ Р 42.4.16-2023</w:t>
        </w:r>
      </w:hyperlink>
      <w:r>
        <w:rPr>
          <w:b w:val="0"/>
          <w:i w:val="0"/>
        </w:rPr>
        <w:t xml:space="preserve"> «Гражданская оборона. Приспособление заглубленных помещений для укрытия населения. Общие требования»</w:t>
      </w:r>
      <w:r>
        <w:rPr>
          <w:vertAlign w:val="superscript"/>
        </w:rPr>
        <w:t>39</w:t>
      </w:r>
      <w:r>
        <w:rPr>
          <w:b w:val="0"/>
          <w:i w:val="0"/>
        </w:rPr>
        <w:t xml:space="preserve">. </w:t>
      </w:r>
    </w:p>
    <w:p>
      <w:r/>
    </w:p>
    <w:p>
      <w:pPr>
        <w:jc w:val="both"/>
      </w:pPr>
      <w:r>
        <w:rPr>
          <w:b/>
          <w:i w:val="0"/>
        </w:rPr>
        <w:t>Критерии установления уровней террористической опасности и прядок их установления</w:t>
      </w:r>
    </w:p>
    <w:p>
      <w:pPr>
        <w:jc w:val="both"/>
      </w:pPr>
      <w:hyperlink r:id="rId11">
        <w:r>
          <w:rPr>
            <w:color w:val="0563C1"/>
            <w:u w:val="single"/>
          </w:rPr>
          <w:t xml:space="preserve">Порядок установления уровней террористической опасности утвержден Указом Президента РФ от 14.06.2012 N 851</w:t>
        </w:r>
      </w:hyperlink>
      <w:r>
        <w:rPr>
          <w:b w:val="0"/>
          <w:i w:val="0"/>
        </w:rPr>
        <w:t xml:space="preserve"> (ред. от 06.09.2024) "О порядке установления уровней террористической опасности, предусматривающих принятие дополнительных мер по обеспечению безопасности личности, общества и государства". </w:t>
      </w:r>
    </w:p>
    <w:p>
      <w:pPr>
        <w:jc w:val="both"/>
      </w:pPr>
      <w:r>
        <w:rPr>
          <w:b w:val="0"/>
          <w:i w:val="0"/>
        </w:rPr>
        <w:t>Выделяют 3 уровня террористической опасности: повышенный ("синий"); высокий ("желтый"); критический ("красный").</w:t>
      </w:r>
    </w:p>
    <w:p>
      <w:pPr>
        <w:jc w:val="both"/>
      </w:pPr>
      <w:r>
        <w:rPr>
          <w:b w:val="0"/>
          <w:i w:val="0"/>
        </w:rPr>
        <w:t>Уровень террористической опасности на отдельных участках территории РФ (объектах) устанавливается:</w:t>
      </w:r>
    </w:p>
    <w:p>
      <w:pPr>
        <w:jc w:val="both"/>
      </w:pPr>
      <w:r>
        <w:rPr>
          <w:b w:val="0"/>
          <w:i w:val="0"/>
        </w:rPr>
        <w:t>- повышенный ("синий") – при наличии требующей подтверждения информации о реальной возможности совершения террористического акта;</w:t>
      </w:r>
    </w:p>
    <w:p>
      <w:pPr>
        <w:jc w:val="both"/>
      </w:pPr>
      <w:r>
        <w:rPr>
          <w:b w:val="0"/>
          <w:i w:val="0"/>
        </w:rPr>
        <w:t>- высокий ("желтый") – при наличии подтвержденной информации о реальной возможности совершения террористического акта;</w:t>
      </w:r>
    </w:p>
    <w:p>
      <w:pPr>
        <w:jc w:val="both"/>
      </w:pPr>
      <w:r>
        <w:rPr>
          <w:b w:val="0"/>
          <w:i w:val="0"/>
        </w:rPr>
        <w:t>- критический ("красный") – при наличии информации о совершенном террористическом акте либо о совершении действий, создающих непосредственную угрозу террористического акта.</w:t>
      </w:r>
    </w:p>
    <w:p>
      <w:pPr>
        <w:jc w:val="both"/>
      </w:pPr>
      <w:r>
        <w:rPr>
          <w:b w:val="0"/>
          <w:i w:val="0"/>
        </w:rPr>
        <w:t>Уровень террористической опасности подлежит отмене, если в результате принятых мер устранена угроза террористической опасности.</w:t>
      </w:r>
    </w:p>
    <w:p>
      <w:r/>
    </w:p>
    <w:p>
      <w:pPr>
        <w:jc w:val="both"/>
      </w:pPr>
      <w:r>
        <w:rPr>
          <w:b/>
          <w:i w:val="0"/>
        </w:rPr>
        <w:t>Информация для образовательных организаций</w:t>
      </w:r>
      <w:r>
        <w:rPr>
          <w:vertAlign w:val="superscript"/>
        </w:rPr>
        <w:t>40</w:t>
      </w:r>
    </w:p>
    <w:p>
      <w:pPr>
        <w:jc w:val="both"/>
      </w:pPr>
      <w:r>
        <w:rPr>
          <w:b w:val="0"/>
          <w:i w:val="0"/>
        </w:rPr>
        <w:t xml:space="preserve">В настоящее время возрастает опасность террористических атак с воздуха, которым практически ежедневно подвергаются различные объекты экономической и военной инфраструктуры на территории европейской части страны. Нападение на общежитие педагогического колледжа в Старобельске, в результате которого погиб 21 человек и еще 44 человека получили ранения, свидетельствует, что также вполне вероятны целенаправленные преступные посягательства в отношении мест пребывания детей, в том числе предназначенных для их отдыха и оздоровления. </w:t>
      </w:r>
    </w:p>
    <w:p>
      <w:pPr>
        <w:jc w:val="both"/>
      </w:pPr>
      <w:r>
        <w:rPr>
          <w:b w:val="0"/>
          <w:i w:val="0"/>
        </w:rPr>
        <w:t xml:space="preserve">Атака беспилотного летательного аппарата является террористическим актом, однако сигнал "Внимание всем!" с информационным сообщением о воздушной тревоге является сигналом гражданской обороны, порядок реагирования на который определен соответствующими документами, разработанными МЧС России. </w:t>
      </w:r>
    </w:p>
    <w:p>
      <w:pPr>
        <w:jc w:val="both"/>
      </w:pPr>
      <w:r>
        <w:rPr>
          <w:b w:val="0"/>
          <w:i w:val="0"/>
        </w:rPr>
        <w:t xml:space="preserve">В связи с изложенным Минпросвещения России обращает внимание, что при подготовке учений и тренировок, связанных с вопросами гражданской обороны, необходимо использовать методические материалы, размещенные на официальном сайте МЧС России. </w:t>
      </w:r>
    </w:p>
    <w:p>
      <w:pPr>
        <w:jc w:val="both"/>
      </w:pPr>
      <w:r>
        <w:rPr>
          <w:b w:val="0"/>
          <w:i w:val="0"/>
        </w:rPr>
        <w:t>Также сообщаем, что адаптация памяток и порядка действий работников и обучаемых при поступлении сигналов гражданской обороны к условиям конкретной организации должна проводиться работниками организаций, уполномоченными на решение задач в облас</w:t>
      </w:r>
      <w:hyperlink r:id="rId12">
        <w:r>
          <w:rPr>
            <w:color w:val="0563C1"/>
            <w:u w:val="single"/>
          </w:rPr>
          <w:t xml:space="preserve">ти ГО, которые в соответствии с Положением об уполномоченных на решение задач в области ГО структурных подразделениях (работниках) организаций, утвержденным приказом МЧС России от 23.05.2017 N 230</w:t>
        </w:r>
      </w:hyperlink>
      <w:r>
        <w:rPr>
          <w:b w:val="0"/>
          <w:i w:val="0"/>
        </w:rPr>
        <w:t xml:space="preserve">, назначаются во всех организациях независимо от их организационно-правовой формы и подведомственности (подчиненности). </w:t>
      </w:r>
    </w:p>
    <w:p>
      <w:pPr>
        <w:jc w:val="both"/>
      </w:pPr>
      <w:hyperlink r:id="rId13">
        <w:r>
          <w:rPr>
            <w:color w:val="0563C1"/>
            <w:u w:val="single"/>
          </w:rPr>
          <w:t xml:space="preserve">Кроме того, информируем, что в соответствии с подпунктом "в" пункта 5 Положения о подготовке населения в области ГО, утвержденного постановлением Правительства РФ от 02.11.2000 N 841</w:t>
        </w:r>
      </w:hyperlink>
      <w:r>
        <w:rPr>
          <w:b w:val="0"/>
          <w:i w:val="0"/>
        </w:rPr>
        <w:t xml:space="preserve">, организация и проведение подготовки населения в области ГО возложены на органы местного самоуправления. В связи с этим рекомендуется по вопросам получения иных необходимых методических материалов, а также сведений о прогнозируемых опасностях, возникающих при вооруженных конфликтах или вследствие этих конфликтов, обращаться в органы местного самоуправления. </w:t>
      </w:r>
    </w:p>
    <w:p>
      <w:r/>
    </w:p>
    <w:p>
      <w:r/>
    </w:p>
    <w:p>
      <w:r/>
    </w:p>
    <w:p/>
    <w:p>
      <w:r>
        <w:rPr>
          <w:b/>
        </w:rPr>
        <w:t>Примечания</w:t>
      </w:r>
    </w:p>
    <w:p>
      <w:r>
        <w:t>38. В Правилах понятие "чрезвычайная ситуация" применяется в значении, предусмотренном Федеральным законом "О защите населения и территорий от ЧС природного и техногенного характера".</w:t>
      </w:r>
    </w:p>
    <w:p>
      <w:r>
        <w:t>39. Стандарт утвержден приказом Росстандарта от 23.11.2023 N 1470-ст. Как и все упоминаемые в нашем журнале нормативно-правовые и методические документы, ГОСТ Р 42.4.16-2023 можно найти в информационной системе «Нормативно-правовые акты и методические материалы по ГО и защите от ЧС». Подписчикам нашего журнала система предоставляется бесплатно. Для этого необходимо выслать по E-mail zdrav1@mail.ru копию документа, подтверждающего подписку.</w:t>
      </w:r>
    </w:p>
    <w:p>
      <w:r>
        <w:t>40. Источник: письмо Минпросвещения России от 28.05.2026 N АБ-2029/14.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m36xFwZ1vRBn3ewUpodjhs20wq27RHNk/edit?usp=drivesdk&amp;ouid=107636637261335910720&amp;rtpof=true&amp;sd=true" TargetMode="External"/><Relationship Id="rId10" Type="http://schemas.openxmlformats.org/officeDocument/2006/relationships/hyperlink" Target="https://docs.google.com/document/d/1Q_tv9VZnP68px7RkM4IvPiZ1-kEC07j8/edit?usp=drivesdk&amp;ouid=107636637261335910720&amp;rtpof=true&amp;sd=true" TargetMode="External"/><Relationship Id="rId11" Type="http://schemas.openxmlformats.org/officeDocument/2006/relationships/hyperlink" Target="https://docs.google.com/document/d/1KkeQ_8spptY5C03WBgW1lOTHNFdMTOml/edit?usp=drivesdk&amp;ouid=107636637261335910720&amp;rtpof=true&amp;sd=true" TargetMode="External"/><Relationship Id="rId12" Type="http://schemas.openxmlformats.org/officeDocument/2006/relationships/hyperlink" Target="https://docs.google.com/document/d/1jf7QG1NOOTTlDjpYmBYje7HqzOFV5a9U/edit?usp=drivesdk&amp;ouid=107636637261335910720&amp;rtpof=true&amp;sd=true" TargetMode="External"/><Relationship Id="rId13" Type="http://schemas.openxmlformats.org/officeDocument/2006/relationships/hyperlink" Target="https://docs.google.com/document/d/1xFBS_lLI-PJpI_DrLhS6VMYykw7_GQiI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