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СВЕТОМАСКИРОВКА НАСЕЛЕННЫХ ПУНКТОВ И ОБЪЕКТОВ ЭКОНОМИКИ В ОТВЕТАХ И ВОПРОСАХ</w:t>
      </w:r>
    </w:p>
    <w:p>
      <w:r>
        <w:rPr>
          <w:b/>
        </w:rPr>
        <w:t>Рубрика: КОНСПЕКТ СПЕЦИАЛИСТА ПО ГО И ЧС</w:t>
        <w:br/>
      </w:r>
      <w:r>
        <w:t>Автор: Архипов Г.С.&lt;br&gt;МГТУ им. Н.Э. Баумана</w:t>
        <w:br/>
      </w:r>
    </w:p>
    <w:p/>
    <w:p>
      <w:pPr>
        <w:jc w:val="both"/>
      </w:pPr>
      <w:r>
        <w:rPr>
          <w:b/>
          <w:i w:val="0"/>
        </w:rPr>
        <w:t>Современные технологии, прежде всего развитие высокоточного оружия, электронных и лазерных систем навигации и определения целей, а также применение искусственного интеллекта кардинально изменили характер воздушных атак и иначе расставили приоритеты в области защиты от воздушного нападения. Насколько в настоящее время актуальны и эффективны мероприятия по светомаскировке территорий и объектов?</w:t>
      </w:r>
    </w:p>
    <w:p>
      <w:pPr>
        <w:jc w:val="both"/>
      </w:pPr>
      <w:r>
        <w:rPr>
          <w:b w:val="0"/>
          <w:i w:val="0"/>
        </w:rPr>
        <w:t>Ответ. Действительно, прогресс в области высокоточного оружия изменил подходы к организации световой маскировки территорий и объектов. В настоящее время современные вооружения воздушного нападения опираются, прежде всего, на электронные и лазерные системы навигации и определения целей. Если в Великую отечественную войну световая маскировка являлась основным видом маскировки территорий и объектов, то сейчас светомаскировка рассматривается как важная, но не единственная составляющая маскировочных мероприятий. При этом роль светомаскировки в отдельных случаях даже возрастает, например, при использовании противником FPV-дронов, имеющих камеры для передачи видеоизображения оператору.</w:t>
      </w:r>
    </w:p>
    <w:p>
      <w:pPr>
        <w:jc w:val="both"/>
      </w:pPr>
      <w:r>
        <w:rPr>
          <w:b w:val="0"/>
          <w:i w:val="0"/>
        </w:rPr>
        <w:t xml:space="preserve">В настоящее время стратегия ведения современных вооруженных конфликтов (войн) основывается на принципах массированного воздействия высокоточным оружием по войсковым объектам и объектам тыла противостоящей стороны. Данный вывод еще раз подкреплен действиями США и Израиля против Ирана и ответными действиями Ирана. </w:t>
      </w:r>
    </w:p>
    <w:p>
      <w:pPr>
        <w:jc w:val="both"/>
      </w:pPr>
      <w:r>
        <w:rPr>
          <w:b w:val="0"/>
          <w:i w:val="0"/>
        </w:rPr>
        <w:t>В случае военного конфликта НАТО с Россией доминирующей особенностью применения вооруженных сил противника станет нанесение массированных воздушных ударов по критически важным объектам тыла на всю глубину территории Российской Федерации. В условиях СВО со стороны Украины постоянно предпринимаются попытки нанесения воздушных ударов при помощи ракет и БПЛА</w:t>
      </w:r>
      <w:r>
        <w:rPr>
          <w:vertAlign w:val="superscript"/>
        </w:rPr>
        <w:t>25</w:t>
      </w:r>
      <w:r>
        <w:rPr>
          <w:b w:val="0"/>
          <w:i w:val="0"/>
        </w:rPr>
        <w:t xml:space="preserve"> не только по военным целям и стратегически важным объектам, но и по гражданским объектам и мирному населению. </w:t>
      </w:r>
    </w:p>
    <w:p>
      <w:pPr>
        <w:jc w:val="both"/>
      </w:pPr>
      <w:r>
        <w:rPr>
          <w:b w:val="0"/>
          <w:i w:val="0"/>
        </w:rPr>
        <w:t>По мнению экспертов, исход вооруженного противостояния России с потенциальным противником в значительной степени будет зависеть от устойчивости оборонно-экономического потенциала страны к воздействию высокоточных ударов воздушного противника, масштабов поражения потенциально опасных объектов и объектов, обеспечивающих жизнедеятельность населения страны. Возможность реализации такой стратегии определяется оснащением вооруженных сил потенциального противника новыми системами обычного дальнобойного высокоточного оружия (управляемыми авиабомбами, самонаводящимися управляемыми ракетами, крылатыми ракетами наземного и морского базирования, различными видами БПЛА).</w:t>
      </w:r>
    </w:p>
    <w:p>
      <w:pPr>
        <w:jc w:val="both"/>
      </w:pPr>
      <w:r>
        <w:rPr>
          <w:b w:val="0"/>
          <w:i w:val="0"/>
        </w:rPr>
        <w:t xml:space="preserve">Таким образом, защита населения, территорий и объектов от воздушных атак противника в рамках гражданской обороны приобретает особое значение. Важную роль здесь играет световая маскировка объектов и территорий. Светомаскировка по-прежнему входит в перечень основных задач гражданской обороны, а описание необходимых знаний, умений и навыков по планированию, организации, проведению и контролю мероприятий по светомаскировке нашло отражение в профессиональном стандарте "Специалист по гражданской обороне" (утв. </w:t>
      </w:r>
      <w:hyperlink r:id="rId9">
        <w:r>
          <w:rPr>
            <w:color w:val="0563C1"/>
            <w:u w:val="single"/>
          </w:rPr>
          <w:t xml:space="preserve">приказом Минтруда России от 27.10.2020 N 748н</w:t>
        </w:r>
      </w:hyperlink>
      <w:r>
        <w:rPr>
          <w:b w:val="0"/>
          <w:i w:val="0"/>
        </w:rPr>
        <w:t>).</w:t>
      </w:r>
    </w:p>
    <w:p>
      <w:pPr>
        <w:jc w:val="both"/>
      </w:pPr>
      <w:r>
        <w:rPr>
          <w:b/>
          <w:i w:val="0"/>
        </w:rPr>
        <w:t>Каковы цели и задачи светомаскировки?</w:t>
      </w:r>
    </w:p>
    <w:p>
      <w:pPr>
        <w:jc w:val="both"/>
      </w:pPr>
      <w:r>
        <w:rPr>
          <w:b w:val="0"/>
          <w:i w:val="0"/>
        </w:rPr>
        <w:t>Ответ. Световая маскировка – одна из основных задач гражданской обороны.</w:t>
      </w:r>
      <w:r>
        <w:rPr>
          <w:vertAlign w:val="superscript"/>
        </w:rPr>
        <w:t>26</w:t>
      </w:r>
      <w:r>
        <w:rPr>
          <w:b w:val="0"/>
          <w:i w:val="0"/>
        </w:rPr>
        <w:t xml:space="preserve"> Маскировка является одним из видов защиты населенных пунктов и объектов организаций (далее – объекты и территории), реализуемых при выполнении мероприятий ГО заблаговременно, при переводе ГО с мирного на военное время, а также в военное время. Светомаскировка организуется и осуществляется для скрытия действительного расположения, состава и размещения зданий, сооружений и технологического оборудования объектов экономики и инфраструктуры, объектов населенных пунктов от всех видов и средств ведения разведки и поражения противника.</w:t>
      </w:r>
      <w:r>
        <w:rPr>
          <w:vertAlign w:val="superscript"/>
        </w:rPr>
        <w:t>27</w:t>
      </w:r>
      <w:r>
        <w:rPr>
          <w:b w:val="0"/>
          <w:i w:val="0"/>
        </w:rPr>
        <w:t xml:space="preserve"> Иначе говоря, под светомаскировкой в системе гражданской обороны понимается комплекс мероприятий, направленных на скрытие или имитацию ложных световых демаскирующих признаков объектов, территорий и мероприятий (действий). </w:t>
      </w:r>
    </w:p>
    <w:p>
      <w:pPr>
        <w:jc w:val="both"/>
      </w:pPr>
      <w:r>
        <w:rPr>
          <w:b w:val="0"/>
          <w:i w:val="0"/>
        </w:rPr>
        <w:t>Основными задачами светомаскировки являются:</w:t>
      </w:r>
    </w:p>
    <w:p>
      <w:pPr>
        <w:jc w:val="both"/>
      </w:pPr>
      <w:r>
        <w:rPr>
          <w:b w:val="0"/>
          <w:i w:val="0"/>
        </w:rPr>
        <w:t>- снижение заметности объектов в темное время суток для средств разведки противника и систем наведения боеприпасов (например, маскировка зданий, сооружений и технологического оборудования объектов экономики и инфраструктуры);</w:t>
      </w:r>
    </w:p>
    <w:p>
      <w:pPr>
        <w:jc w:val="both"/>
      </w:pPr>
      <w:r>
        <w:rPr>
          <w:b w:val="0"/>
          <w:i w:val="0"/>
        </w:rPr>
        <w:t>- создание ложных целей и имитация деятельности, чтобы дезориентировать потенциального противника. Это выходит за рамки простого затемнения и включает активные и пассивные методы дезинформации и обмана;</w:t>
      </w:r>
    </w:p>
    <w:p>
      <w:pPr>
        <w:jc w:val="both"/>
      </w:pPr>
      <w:r>
        <w:rPr>
          <w:b w:val="0"/>
          <w:i w:val="0"/>
        </w:rPr>
        <w:t>- обеспечение бесперебойной работы объектов и безопасности передвижения, несмотря на меры маскировки.</w:t>
      </w:r>
    </w:p>
    <w:p>
      <w:pPr>
        <w:jc w:val="both"/>
      </w:pPr>
      <w:r>
        <w:rPr>
          <w:b/>
          <w:i w:val="0"/>
        </w:rPr>
        <w:t>Какие нормативно-правовые документы используются при планировании и проведении мероприятий по светомаскировке?</w:t>
      </w:r>
    </w:p>
    <w:p>
      <w:pPr>
        <w:jc w:val="both"/>
      </w:pPr>
      <w:r>
        <w:rPr>
          <w:b w:val="0"/>
          <w:i w:val="0"/>
        </w:rPr>
        <w:t>Ответ. В настоящее время основными нормативно-правовыми и методическими документами по организации световой маскировки являются:</w:t>
      </w:r>
    </w:p>
    <w:p>
      <w:pPr>
        <w:jc w:val="both"/>
      </w:pPr>
      <w:r>
        <w:rPr>
          <w:b w:val="0"/>
          <w:i w:val="0"/>
        </w:rPr>
        <w:t xml:space="preserve">- </w:t>
      </w:r>
      <w:hyperlink r:id="rId10">
        <w:r>
          <w:rPr>
            <w:color w:val="0563C1"/>
            <w:u w:val="single"/>
          </w:rPr>
          <w:t xml:space="preserve">Федеральный закон от 12.02.1998 N 28-ФЗ "О гражданской обороне"</w:t>
        </w:r>
      </w:hyperlink>
      <w:r>
        <w:rPr>
          <w:b w:val="0"/>
          <w:i w:val="0"/>
        </w:rPr>
        <w:t xml:space="preserve"> (статья 2 «Задачи в области гражданской обороны»);</w:t>
      </w:r>
    </w:p>
    <w:p>
      <w:pPr>
        <w:jc w:val="both"/>
      </w:pPr>
      <w:r>
        <w:rPr>
          <w:b w:val="0"/>
          <w:i w:val="0"/>
        </w:rPr>
        <w:t xml:space="preserve">- </w:t>
      </w:r>
      <w:hyperlink r:id="rId11">
        <w:r>
          <w:rPr>
            <w:color w:val="0563C1"/>
            <w:u w:val="single"/>
          </w:rPr>
          <w:t xml:space="preserve">Постановление Правительства РФ от 26.11.2007 N 804 "Об утверждении Положения о гражданской обороне в Российской Федерации"</w:t>
        </w:r>
      </w:hyperlink>
      <w:r>
        <w:rPr>
          <w:b w:val="0"/>
          <w:i w:val="0"/>
        </w:rPr>
        <w:t xml:space="preserve"> (пункт 11 Положения);</w:t>
      </w:r>
    </w:p>
    <w:p>
      <w:pPr>
        <w:jc w:val="both"/>
      </w:pPr>
      <w:r>
        <w:rPr>
          <w:b w:val="0"/>
          <w:i w:val="0"/>
        </w:rPr>
        <w:t xml:space="preserve">- </w:t>
      </w:r>
      <w:hyperlink r:id="rId12">
        <w:r>
          <w:rPr>
            <w:color w:val="0563C1"/>
            <w:u w:val="single"/>
          </w:rPr>
          <w:t xml:space="preserve">приказ МЧС России от 14.11.2008 N 687 "Об утверждении Положения об организации и ведении гражданской обороны в муниципальных образованиях и организациях"</w:t>
        </w:r>
      </w:hyperlink>
      <w:r>
        <w:rPr>
          <w:b w:val="0"/>
          <w:i w:val="0"/>
        </w:rPr>
        <w:t xml:space="preserve"> (пп. 15.5 , 16.5 Положения);</w:t>
      </w:r>
    </w:p>
    <w:p>
      <w:pPr>
        <w:jc w:val="both"/>
      </w:pPr>
      <w:r>
        <w:rPr>
          <w:b w:val="0"/>
          <w:i w:val="0"/>
        </w:rPr>
        <w:t xml:space="preserve">- СП 264.1325800.2016. Свод правил. Световая маскировка населенных пунктов и объектов народного хозяйства. Актуализированная редакция </w:t>
      </w:r>
      <w:hyperlink r:id="rId13">
        <w:r>
          <w:rPr>
            <w:color w:val="0563C1"/>
            <w:u w:val="single"/>
          </w:rPr>
          <w:t xml:space="preserve">СНиП 2.01.53-84</w:t>
        </w:r>
      </w:hyperlink>
      <w:r>
        <w:rPr>
          <w:b w:val="0"/>
          <w:i w:val="0"/>
        </w:rPr>
        <w:t xml:space="preserve"> (утв. </w:t>
      </w:r>
      <w:hyperlink r:id="rId13">
        <w:r>
          <w:rPr>
            <w:color w:val="0563C1"/>
            <w:u w:val="single"/>
          </w:rPr>
          <w:t xml:space="preserve">приказом Минстроя России от 03.12.2016 N 880/пр</w:t>
        </w:r>
      </w:hyperlink>
      <w:r>
        <w:rPr>
          <w:b w:val="0"/>
          <w:i w:val="0"/>
        </w:rPr>
        <w:t>);</w:t>
      </w:r>
    </w:p>
    <w:p>
      <w:pPr>
        <w:jc w:val="both"/>
      </w:pPr>
      <w:r>
        <w:rPr>
          <w:b w:val="0"/>
          <w:i w:val="0"/>
        </w:rPr>
        <w:t xml:space="preserve">- </w:t>
      </w:r>
      <w:hyperlink r:id="rId14">
        <w:r>
          <w:rPr>
            <w:color w:val="0563C1"/>
            <w:u w:val="single"/>
          </w:rPr>
          <w:t xml:space="preserve">СП 165.1325800.2014</w:t>
        </w:r>
      </w:hyperlink>
      <w:r>
        <w:rPr>
          <w:b w:val="0"/>
          <w:i w:val="0"/>
        </w:rPr>
        <w:t xml:space="preserve">. Свод правил. Инженерно-технические мероприятия по гражданской обороне. Актуализированная редакция </w:t>
      </w:r>
      <w:hyperlink r:id="rId14">
        <w:r>
          <w:rPr>
            <w:color w:val="0563C1"/>
            <w:u w:val="single"/>
          </w:rPr>
          <w:t xml:space="preserve">СНиП 2.01.51-90</w:t>
        </w:r>
      </w:hyperlink>
      <w:r>
        <w:rPr>
          <w:b w:val="0"/>
          <w:i w:val="0"/>
        </w:rPr>
        <w:t xml:space="preserve"> (утв. и введен в действие </w:t>
      </w:r>
      <w:hyperlink r:id="rId15">
        <w:r>
          <w:rPr>
            <w:color w:val="0563C1"/>
            <w:u w:val="single"/>
          </w:rPr>
          <w:t xml:space="preserve">приказом Минстроя России от 12.11.2014 N 705/пр</w:t>
        </w:r>
      </w:hyperlink>
      <w:r>
        <w:rPr>
          <w:b w:val="0"/>
          <w:i w:val="0"/>
        </w:rPr>
        <w:t>) (ред. от 12.04.2023) (глава 10 «Требования к маскировочным мероприятиям»);</w:t>
      </w:r>
    </w:p>
    <w:p>
      <w:pPr>
        <w:jc w:val="both"/>
      </w:pPr>
      <w:r>
        <w:rPr>
          <w:b w:val="0"/>
          <w:i w:val="0"/>
        </w:rPr>
        <w:t>- методические рекомендации по определению перечня объектов, подлежащих маскировке от современных средств поражения (Всероссийский научно-исследовательский институт по проблемам гражданской обороны и чрезвычайных ситуаций, 2010).</w:t>
      </w:r>
    </w:p>
    <w:p>
      <w:pPr>
        <w:jc w:val="both"/>
      </w:pPr>
      <w:r>
        <w:rPr>
          <w:b w:val="0"/>
          <w:i w:val="0"/>
        </w:rPr>
        <w:t>В субъектах РФ и муниципальных образованиях вопросы световой и других видов маскировки обычно прописываются в региональных и муниципальных Положениях об организации и ведении гражданской обороны. Также на региональном и муниципальном уровнях по данному вопросу могут разрабатываться и утверждаться отдельные положения, инструкции и/или методические рекомендации по светомаскировке.</w:t>
      </w:r>
    </w:p>
    <w:p>
      <w:pPr>
        <w:jc w:val="both"/>
      </w:pPr>
      <w:r>
        <w:rPr>
          <w:b w:val="0"/>
          <w:i w:val="0"/>
        </w:rPr>
        <w:t>Образцы документов по организации световой маскировки можно найти в информационной системе «Нормативно-правовые акты и методические материалы по ГО и защите от ЧС». Подписчикам нашего журнала система предоставляется бесплатно. Для этого необходимо выслать по E-mail zdrav1@mail.ru копию документа, подтверждающего подписку.</w:t>
      </w:r>
    </w:p>
    <w:p>
      <w:pPr>
        <w:jc w:val="both"/>
      </w:pPr>
      <w:r>
        <w:rPr>
          <w:b/>
          <w:i w:val="0"/>
        </w:rPr>
        <w:t>Что относится к основным мероприятиям по светомаскировке?</w:t>
      </w:r>
    </w:p>
    <w:p>
      <w:pPr>
        <w:jc w:val="both"/>
      </w:pPr>
      <w:r>
        <w:rPr>
          <w:b w:val="0"/>
          <w:i w:val="0"/>
        </w:rPr>
        <w:t>Ответ. В соответствии с п. 11 «Положения о гражданской обороне в Российской Федерации»</w:t>
      </w:r>
      <w:r>
        <w:rPr>
          <w:vertAlign w:val="superscript"/>
        </w:rPr>
        <w:t>28</w:t>
      </w:r>
      <w:r>
        <w:rPr>
          <w:b w:val="0"/>
          <w:i w:val="0"/>
        </w:rPr>
        <w:t xml:space="preserve"> основными мероприятиями по гражданской обороне, осуществляемыми в целях световой маскировки и других видов маскировки, являются:</w:t>
      </w:r>
    </w:p>
    <w:p>
      <w:pPr>
        <w:jc w:val="both"/>
      </w:pPr>
      <w:r>
        <w:rPr>
          <w:b w:val="0"/>
          <w:i w:val="0"/>
        </w:rPr>
        <w:t>- определение перечня объектов, подлежащих маскировке;</w:t>
      </w:r>
    </w:p>
    <w:p>
      <w:pPr>
        <w:jc w:val="both"/>
      </w:pPr>
      <w:r>
        <w:rPr>
          <w:b w:val="0"/>
          <w:i w:val="0"/>
        </w:rPr>
        <w:t>- разработка планов осуществления комплексной маскировки территорий, отнесенных в установленном порядке к группам по гражданской обороне, а также организаций, являющихся вероятными целями при использовании современных средств поражения;</w:t>
      </w:r>
    </w:p>
    <w:p>
      <w:pPr>
        <w:jc w:val="both"/>
      </w:pPr>
      <w:r>
        <w:rPr>
          <w:b w:val="0"/>
          <w:i w:val="0"/>
        </w:rPr>
        <w:t>- создание и поддержание в состоянии постоянной готовности к использованию по предназначению запасов материально-технических средств, необходимых для проведения мероприятий по осуществлению световой и других видов маскировки;</w:t>
      </w:r>
    </w:p>
    <w:p>
      <w:pPr>
        <w:jc w:val="both"/>
      </w:pPr>
      <w:r>
        <w:rPr>
          <w:b w:val="0"/>
          <w:i w:val="0"/>
        </w:rPr>
        <w:t>- проведение инженерно-технических мероприятий по уменьшению демаскирующих признаков организаций, отнесенных в установленном порядке к категориям по гражданской обороне.</w:t>
      </w:r>
    </w:p>
    <w:p>
      <w:pPr>
        <w:jc w:val="both"/>
      </w:pPr>
      <w:r>
        <w:rPr>
          <w:b w:val="0"/>
          <w:i w:val="0"/>
        </w:rPr>
        <w:t xml:space="preserve">Перечень указанных мероприятий для органов местного самоуправления и организаций (учреждений, предприятий) продублирован в </w:t>
      </w:r>
      <w:hyperlink r:id="rId12">
        <w:r>
          <w:rPr>
            <w:color w:val="0563C1"/>
            <w:u w:val="single"/>
          </w:rPr>
          <w:t xml:space="preserve">приказе МЧС России от 14.11.2008 N 687 "Об утверждении Положения об организации и ведении гражданской обороны в муниципальных образованиях и организациях"</w:t>
        </w:r>
      </w:hyperlink>
      <w:r>
        <w:rPr>
          <w:b w:val="0"/>
          <w:i w:val="0"/>
        </w:rPr>
        <w:t xml:space="preserve">. </w:t>
      </w:r>
    </w:p>
    <w:p>
      <w:pPr>
        <w:jc w:val="both"/>
      </w:pPr>
      <w:r>
        <w:rPr>
          <w:b/>
          <w:i w:val="0"/>
        </w:rPr>
        <w:t>Какие, когда и как проводить мероприятия по светомаскировке населенных пунктов и отдельных объектов?</w:t>
      </w:r>
    </w:p>
    <w:p>
      <w:pPr>
        <w:jc w:val="both"/>
      </w:pPr>
      <w:r>
        <w:rPr>
          <w:b w:val="0"/>
          <w:i w:val="0"/>
        </w:rPr>
        <w:t xml:space="preserve">Ответ. Коротко на данный вопрос ответить невозможно, так как необходимо использовать больной объем информации из </w:t>
      </w:r>
      <w:hyperlink r:id="rId13">
        <w:r>
          <w:rPr>
            <w:color w:val="0563C1"/>
            <w:u w:val="single"/>
          </w:rPr>
          <w:t xml:space="preserve">Свода правил «Световая маскировка населенных пунктов и объектов народного хозяйства. Актуализированная редакция СНиП 2.01.53-84»</w:t>
        </w:r>
      </w:hyperlink>
      <w:r>
        <w:rPr>
          <w:vertAlign w:val="superscript"/>
        </w:rPr>
        <w:t>29</w:t>
      </w:r>
      <w:r>
        <w:rPr>
          <w:b w:val="0"/>
          <w:i w:val="0"/>
        </w:rPr>
        <w:t xml:space="preserve"> и </w:t>
      </w:r>
      <w:hyperlink r:id="rId14">
        <w:r>
          <w:rPr>
            <w:color w:val="0563C1"/>
            <w:u w:val="single"/>
          </w:rPr>
          <w:t xml:space="preserve">Свода правил «Инженерно-технические мероприятия по гражданской обороне. Актуализированная редакция СНиП 2.01.51-90»</w:t>
        </w:r>
      </w:hyperlink>
      <w:r>
        <w:rPr>
          <w:vertAlign w:val="superscript"/>
        </w:rPr>
        <w:t>30</w:t>
      </w:r>
      <w:r>
        <w:rPr>
          <w:b w:val="0"/>
          <w:i w:val="0"/>
        </w:rPr>
        <w:t xml:space="preserve"> (глава 10 «Требования к маскировочным мероприятиям»). Поэтому рекомендуем обратиться к этим первоисточникам. Указанные документы объемные с четкой структурой детализированной информации (по направлениям деятельности). Скажем только (без деталей и технических подробностей), что:</w:t>
      </w:r>
    </w:p>
    <w:p>
      <w:pPr>
        <w:jc w:val="both"/>
      </w:pPr>
      <w:r>
        <w:rPr>
          <w:b w:val="0"/>
          <w:i w:val="0"/>
        </w:rPr>
        <w:t>- световая маскировка должна проводиться для создания в темное время суток условий, затрудняющих обнаружение городских и сельских поселений и объектов народного хозяйства с воздуха путем визуального наблюдения или с помощью оптических приборов, рассчитанных на видимую область излучения (0,40 – 0,76 мкм);</w:t>
      </w:r>
    </w:p>
    <w:p>
      <w:pPr>
        <w:jc w:val="both"/>
      </w:pPr>
      <w:r>
        <w:rPr>
          <w:b w:val="0"/>
          <w:i w:val="0"/>
        </w:rPr>
        <w:t>- требования по светомаскировке распространяются на муниципальные образования и объекты, независимо от форм собственности, расположенные в зоне светомаскировки;</w:t>
      </w:r>
    </w:p>
    <w:p>
      <w:pPr>
        <w:jc w:val="both"/>
      </w:pPr>
      <w:r>
        <w:rPr>
          <w:b w:val="0"/>
          <w:i w:val="0"/>
        </w:rPr>
        <w:t>- подготовка к ведению маскировочных мероприятий на объектах и территориях осуществляется в мирное время заблаговременно, путем разработки планирующих документов, подготовки личного состава аварийно-спасательных формирований и спасательных служб, а также накоплением имущества и технических средств, необходимых для их проведения;</w:t>
      </w:r>
    </w:p>
    <w:p>
      <w:pPr>
        <w:jc w:val="both"/>
      </w:pPr>
      <w:r>
        <w:rPr>
          <w:b w:val="0"/>
          <w:i w:val="0"/>
        </w:rPr>
        <w:t>- световая маскировка действует в двух режимах: частичного и полного затемнения. Подготовительные мероприятия, обеспечивающие осуществление светомаскировки в этих режимах, должны проводиться заблаговременно, в мирное время;</w:t>
      </w:r>
    </w:p>
    <w:p>
      <w:pPr>
        <w:jc w:val="both"/>
      </w:pPr>
      <w:r>
        <w:rPr>
          <w:b w:val="0"/>
          <w:i w:val="0"/>
        </w:rPr>
        <w:t>- в режиме частичного затемнения должно предусматриваться завершение подготовки к введению режима полного затемнения. Режим частичного затемнения не должен нарушать нормальную производственную деятельность в городских и сельских поселениях и на объектах народного хозяйства. Режим частичного затемнения после его введения действует постоянно, кроме времени действия режима полного затемнения;</w:t>
      </w:r>
    </w:p>
    <w:p>
      <w:pPr>
        <w:jc w:val="both"/>
      </w:pPr>
      <w:r>
        <w:rPr>
          <w:b w:val="0"/>
          <w:i w:val="0"/>
        </w:rPr>
        <w:t>- режим полного затемнения вводится по сигналу "Воздушная тревога" и отменяется с объявлением сигнала "Отбой воздушной тревоги". Переход с режима частичного затемнения на режим полного затемнения должен осуществляться не более чем за 3 мин.;</w:t>
      </w:r>
    </w:p>
    <w:p>
      <w:pPr>
        <w:jc w:val="both"/>
      </w:pPr>
      <w:r>
        <w:rPr>
          <w:b w:val="0"/>
          <w:i w:val="0"/>
        </w:rPr>
        <w:t>- светомаскировка, как правило, не требует каких-либо запредельных расходов. Главное здесь – четкая организация и быстрота реакции (не более 3 мин.) на принятие решения и введение режима полного затемнения. Ответственными за светомаскировку, как правило, являются спасательных службы ГО, формируемые на базе организаций электроэнергетического профиля.</w:t>
      </w:r>
    </w:p>
    <w:p>
      <w:pPr>
        <w:jc w:val="both"/>
      </w:pPr>
      <w:r>
        <w:rPr>
          <w:b/>
          <w:i w:val="0"/>
        </w:rPr>
        <w:t>Кто осуществляет общее руководство и непосредственное управление организацией светомаскировки на муниципальном уровне?</w:t>
      </w:r>
    </w:p>
    <w:p>
      <w:pPr>
        <w:jc w:val="both"/>
      </w:pPr>
      <w:r>
        <w:rPr>
          <w:b w:val="0"/>
          <w:i w:val="0"/>
        </w:rPr>
        <w:t>Общее руководство и контроль выполнения светомаскировочных мероприятий на территории муниципального образования возлагается на управление ГОЧС администрации муниципального образования. Планирование, организацию, проведение и контроль мероприятий по светомаскировке осуществляет спасательная служба энергетики и светомаскировки муниципального образования (названия таких служб в различных регионах могут различаться).</w:t>
      </w:r>
    </w:p>
    <w:p>
      <w:pPr>
        <w:jc w:val="both"/>
      </w:pPr>
      <w:r>
        <w:rPr>
          <w:b w:val="0"/>
          <w:i w:val="0"/>
        </w:rPr>
        <w:t>Спасательная служба энергетики и светомаскировки вправе принимать решения, обязательные для выполнения предприятиями, организациями, учреждениями всех форм собственности на территории муниципального образования, связанные с планированием и всесторонней подготовкой к проведению мероприятий по световой маскировке.</w:t>
      </w:r>
    </w:p>
    <w:p>
      <w:pPr>
        <w:jc w:val="both"/>
      </w:pPr>
      <w:r>
        <w:rPr>
          <w:b/>
          <w:i w:val="0"/>
        </w:rPr>
        <w:t>Как осуществляется контроль качества световой маскировки?</w:t>
      </w:r>
    </w:p>
    <w:p>
      <w:pPr>
        <w:jc w:val="both"/>
      </w:pPr>
      <w:r>
        <w:rPr>
          <w:b w:val="0"/>
          <w:i w:val="0"/>
        </w:rPr>
        <w:t>Контроль мероприятий по подготовке и проведению светомаскировки на территориях и объектах входит в программы проверок и государственного надзора в области ГО. Также вопросы светомаскировки отрабатываются при проведении учений и тренировок.</w:t>
      </w:r>
    </w:p>
    <w:p>
      <w:pPr>
        <w:jc w:val="both"/>
      </w:pPr>
      <w:r>
        <w:rPr>
          <w:b w:val="0"/>
          <w:i w:val="0"/>
        </w:rPr>
        <w:t>Технический контроль качества светомаскировки в режиме полного затемнения осуществляется визуально и с помощью приборов. Контролю подлежат:</w:t>
      </w:r>
    </w:p>
    <w:p>
      <w:pPr>
        <w:jc w:val="both"/>
      </w:pPr>
      <w:r>
        <w:rPr>
          <w:b w:val="0"/>
          <w:i w:val="0"/>
        </w:rPr>
        <w:t>- уровни освещенности, создаваемой в режиме полного затемнения осветительными установками внутреннего, наружного освещения и производственными огнями;</w:t>
      </w:r>
    </w:p>
    <w:p>
      <w:pPr>
        <w:jc w:val="both"/>
      </w:pPr>
      <w:r>
        <w:rPr>
          <w:b w:val="0"/>
          <w:i w:val="0"/>
        </w:rPr>
        <w:t>- надежность работы светомаскировочных приспособлений на светильниках, зашторивающих устройств оконных, аэрационных и светоаэрационных проемов зданий и сооружений;</w:t>
      </w:r>
    </w:p>
    <w:p>
      <w:pPr>
        <w:jc w:val="both"/>
      </w:pPr>
      <w:r>
        <w:rPr>
          <w:b w:val="0"/>
          <w:i w:val="0"/>
        </w:rPr>
        <w:t>- надежность действия экранирующих устройств технологических способов при маскировке производственных огней;</w:t>
      </w:r>
    </w:p>
    <w:p>
      <w:pPr>
        <w:jc w:val="both"/>
      </w:pPr>
      <w:r>
        <w:rPr>
          <w:b w:val="0"/>
          <w:i w:val="0"/>
        </w:rPr>
        <w:t>- время выполнения светомаскировочных мероприятий при подаче сигнала «Воздушная тревога» и соответствие нормам времени.</w:t>
      </w:r>
    </w:p>
    <w:p>
      <w:pPr>
        <w:jc w:val="both"/>
      </w:pPr>
      <w:r>
        <w:rPr>
          <w:b w:val="0"/>
          <w:i w:val="0"/>
        </w:rPr>
        <w:t>Контроль качества световой маскировки должен производиться в два этапа. На первом этапе по мере выполнения светомаскировочных мероприятий осуществляется локальный контроль световой маскировки отдельных помещений, цехов, агрегатов, технологических процессов. При проведении локального контроля в первую очередь должно быть установлено, осталось ли световое излучение, выходящее в верхнюю полусферу, и каковы его параметры.</w:t>
      </w:r>
    </w:p>
    <w:p>
      <w:pPr>
        <w:jc w:val="both"/>
      </w:pPr>
      <w:r>
        <w:rPr>
          <w:b w:val="0"/>
          <w:i w:val="0"/>
        </w:rPr>
        <w:t>На втором этапе, после получения положительных результатов локальной проверки, производится визуальная проверка качества световой маскировки населенного пункта или промышленного объекта и прилегающей к нему территории.</w:t>
      </w:r>
    </w:p>
    <w:p/>
    <w:p>
      <w:r>
        <w:rPr>
          <w:b/>
        </w:rPr>
        <w:t>Примечания</w:t>
      </w:r>
    </w:p>
    <w:p>
      <w:r>
        <w:t>25. Беспилотный летательный аппарат (БПЛА, БЛА, в разговорной речи также беспилотник или дрон), – летательный аппарат, не имеющий на борту экипажа, который предназначен для неуправляемых или дистанционно управляемых полетов. Слово беспилотный используется для обозначения аппаратов, действующих автоматически или управляемых дистанционно. БПЛА могут обладать разной степенью автономности от управляемых дистанционно до полностью автоматических. Беспилотники различаются по конструкции, назначению и другим параметрам. Управление БПЛА может осуществляться эпизодической подачей команд или непрерывно (в том числе в режиме «вида от первого лица» – FPV (First Person View). FPV-дрон – это БПЛА, использующий канал видеосвязи для передачи изображений оператору. Наличие телевизионной камеры или системы инфракрасного обзора позволяет отображать обстановку в районе полета.</w:t>
      </w:r>
    </w:p>
    <w:p>
      <w:r>
        <w:t>26. См. статью 2 «Задачи в области гражданской обороны» Федерального закона от 12.02.1998 N 28-ФЗ "О гражданской обороне".</w:t>
      </w:r>
    </w:p>
    <w:p>
      <w:r>
        <w:t>27. См. СП 264.1325800.2016. Свод правил. Световая маскировка населенных пунктов и объектов народного хозяйства. Актуализированная редакция СНиП 2.01.53-84 (утв. приказом Минстроя России от 03.12.2016 N 880/пр).</w:t>
      </w:r>
    </w:p>
    <w:p>
      <w:r>
        <w:t>28. Утверждено Постановлением Правительства РФ от 26.11.2007 N 804.</w:t>
      </w:r>
    </w:p>
    <w:p>
      <w:r>
        <w:t>29. Утв. приказом Минстроя России от 03.12.2016 N 880/пр.</w:t>
      </w:r>
    </w:p>
    <w:p>
      <w:r>
        <w:t>30. Утв. и введен в действие приказом Минстроя России от 12.11.2014 N 705/пр (ред. от 12.04.2023).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l6ljPoaQMnSWgT_GL92W1j0eseHZAqlU/edit?usp=drivesdk&amp;ouid=107636637261335910720&amp;rtpof=true&amp;sd=true" TargetMode="External"/><Relationship Id="rId10" Type="http://schemas.openxmlformats.org/officeDocument/2006/relationships/hyperlink" Target="https://docs.google.com/document/d/1xs4bVcp7iR-16VnqFaqxPjrghrUiOTe2/edit?usp=drivesdk&amp;ouid=107636637261335910720&amp;rtpof=true&amp;sd=true" TargetMode="External"/><Relationship Id="rId11" Type="http://schemas.openxmlformats.org/officeDocument/2006/relationships/hyperlink" Target="https://docs.google.com/document/d/1HxNJUW-siWB9YgTj127M_39jXIPawdn0/edit?usp=drivesdk&amp;ouid=107636637261335910720&amp;rtpof=true&amp;sd=true" TargetMode="External"/><Relationship Id="rId12" Type="http://schemas.openxmlformats.org/officeDocument/2006/relationships/hyperlink" Target="https://docs.google.com/document/d/1VPmddMuChERjaX3TfirurJZDtQBOnSVT/edit?usp=drivesdk&amp;ouid=107636637261335910720&amp;rtpof=true&amp;sd=true" TargetMode="External"/><Relationship Id="rId13" Type="http://schemas.openxmlformats.org/officeDocument/2006/relationships/hyperlink" Target="https://docs.google.com/document/d/1Yo49UUFIvu88BdmaG-Fgo7esUJhPUBIg/edit?usp=drivesdk&amp;ouid=107636637261335910720&amp;rtpof=true&amp;sd=true" TargetMode="External"/><Relationship Id="rId14" Type="http://schemas.openxmlformats.org/officeDocument/2006/relationships/hyperlink" Target="https://docs.google.com/document/d/1k8eYCVGTPSS1vgUVcENNJHpTSvzLcohj/edit?usp=drivesdk&amp;ouid=107636637261335910720&amp;rtpof=true&amp;sd=true" TargetMode="External"/><Relationship Id="rId15" Type="http://schemas.openxmlformats.org/officeDocument/2006/relationships/hyperlink" Target="https://docs.google.com/document/d/1zqc4OrOK6RohpUzzfCuevLxa543-ZQRH/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