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ОРГАНИЗАЦИЯ МЕРОПРИЯТИЙ ПО СВЕТОВОЙ МАСКИРОВКЕ НА ТЕРРИТОРИИ МУНИЦИПАЛЬНОГО ОБРАЗОВАНИЯ (ГОРОДА, РАЙОНА)</w:t>
      </w:r>
    </w:p>
    <w:p>
      <w:r>
        <w:rPr>
          <w:b/>
        </w:rPr>
        <w:t>Рубрика: КОНСПЕКТ СПЕЦИАЛИСТА ПО ГО И ЧС</w:t>
        <w:br/>
      </w:r>
      <w:r>
        <w:t>Автор: Лаврентьев В.М. Сотрудник редакции журнала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Светомаскировка является одной из основных задач гражданской обороны.</w:t>
      </w:r>
      <w:r>
        <w:rPr>
          <w:vertAlign w:val="superscript"/>
        </w:rPr>
        <w:t>29</w:t>
      </w:r>
      <w:r>
        <w:rPr>
          <w:b w:val="0"/>
          <w:i w:val="0"/>
        </w:rPr>
        <w:t xml:space="preserve"> Под световой маскировкой в системе гражданской обороне понимается комплекс мероприятий, направленных на скрытие или имитацию ложных световых демаскирующих признаков объектов, территорий и мероприятий (действий). </w:t>
      </w:r>
    </w:p>
    <w:p>
      <w:pPr>
        <w:jc w:val="both"/>
      </w:pPr>
      <w:r>
        <w:rPr>
          <w:b w:val="0"/>
          <w:i w:val="0"/>
        </w:rPr>
        <w:t>Основными задачами светомаскировки являются:</w:t>
      </w:r>
    </w:p>
    <w:p>
      <w:pPr>
        <w:jc w:val="both"/>
      </w:pPr>
      <w:r>
        <w:rPr>
          <w:b w:val="0"/>
          <w:i w:val="0"/>
        </w:rPr>
        <w:t>- снижение заметности объектов в тёмное время суток для средств разведки противника и систем наведения боеприпасов (например, маскировка зданий, сооружений и технологического оборудования объектов экономики и инфраструктуры);</w:t>
      </w:r>
    </w:p>
    <w:p>
      <w:pPr>
        <w:jc w:val="both"/>
      </w:pPr>
      <w:r>
        <w:rPr>
          <w:b w:val="0"/>
          <w:i w:val="0"/>
        </w:rPr>
        <w:t>- создание ложных целей и имитация деятельности, чтобы дезориентировать потенциального противника. Это выходит за рамки простого затемнения и включает активные и пассивные методы дезинформации и обмана;</w:t>
      </w:r>
    </w:p>
    <w:p>
      <w:pPr>
        <w:jc w:val="both"/>
      </w:pPr>
      <w:r>
        <w:rPr>
          <w:b w:val="0"/>
          <w:i w:val="0"/>
        </w:rPr>
        <w:t>- обеспечение бесперебойной работы объектов и безопасности передвижения, несмотря на меры маскировки.</w:t>
      </w:r>
    </w:p>
    <w:p>
      <w:r/>
    </w:p>
    <w:p>
      <w:pPr>
        <w:jc w:val="both"/>
      </w:pPr>
      <w:r>
        <w:rPr>
          <w:b/>
          <w:i w:val="0"/>
        </w:rPr>
        <w:t>Основные мероприятия по световой маскировке</w:t>
      </w:r>
    </w:p>
    <w:p>
      <w:pPr>
        <w:jc w:val="both"/>
      </w:pPr>
      <w:r>
        <w:rPr>
          <w:b w:val="0"/>
          <w:i w:val="0"/>
        </w:rPr>
        <w:t>В соответствии с п. 11 «Положения о гражданской обороне в Российской Федерации»</w:t>
      </w:r>
      <w:r>
        <w:rPr>
          <w:vertAlign w:val="superscript"/>
        </w:rPr>
        <w:t>30</w:t>
      </w:r>
      <w:r>
        <w:rPr>
          <w:b w:val="0"/>
          <w:i w:val="0"/>
        </w:rPr>
        <w:t xml:space="preserve"> основными мероприятиями по гражданской обороне, осуществляемыми в целях световой маскировки и других видов маскировки, являются:</w:t>
      </w:r>
    </w:p>
    <w:p>
      <w:pPr>
        <w:jc w:val="both"/>
      </w:pPr>
      <w:r>
        <w:rPr>
          <w:b w:val="0"/>
          <w:i w:val="0"/>
        </w:rPr>
        <w:t>- определение перечня объектов, подлежащих маскировке;</w:t>
      </w:r>
    </w:p>
    <w:p>
      <w:pPr>
        <w:jc w:val="both"/>
      </w:pPr>
      <w:r>
        <w:rPr>
          <w:b w:val="0"/>
          <w:i w:val="0"/>
        </w:rPr>
        <w:t>- разработка планов осуществления комплексной маскировки территорий, отнесенных в установленном порядке к группам по гражданской обороне, а также организаций, являющихся вероятными целями при использовании современных средств поражения;</w:t>
      </w:r>
    </w:p>
    <w:p>
      <w:pPr>
        <w:jc w:val="both"/>
      </w:pPr>
      <w:r>
        <w:rPr>
          <w:b w:val="0"/>
          <w:i w:val="0"/>
        </w:rPr>
        <w:t>- создание и поддержание в состоянии постоянной готовности к использованию по предназначению запасов материально-технических средств, необходимых для проведения мероприятий по осуществлению световой и других видов маскировки;</w:t>
      </w:r>
    </w:p>
    <w:p>
      <w:pPr>
        <w:jc w:val="both"/>
      </w:pPr>
      <w:r>
        <w:rPr>
          <w:b w:val="0"/>
          <w:i w:val="0"/>
        </w:rPr>
        <w:t>- проведение инженерно-технических мероприятий по уменьшению демаскирующих признаков организаций, отнесенных в установленном порядке к категориям по гражданской обороне.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Перечень указанных мероприятий продублирован в приказе МЧС России от 14.11.2008 N 687 "Об утверждении Положения об организации и ведении гражданской обороны в муниципальных образованиях и организациях"</w:t>
        </w:r>
      </w:hyperlink>
      <w:r>
        <w:rPr>
          <w:b w:val="0"/>
          <w:i w:val="0"/>
        </w:rPr>
        <w:t xml:space="preserve">. </w:t>
      </w:r>
    </w:p>
    <w:p>
      <w:pPr>
        <w:jc w:val="both"/>
      </w:pPr>
      <w:r>
        <w:rPr>
          <w:b w:val="0"/>
          <w:i w:val="0"/>
        </w:rPr>
        <w:t xml:space="preserve">На муниципальном уровне обычно утверждается Положение об организации световой маскировки населенных пунктов и объектов экономики, расположенных на территории муниципального образования (города, района, округа). Положение должно содержать цели и основные принципы планирования, обеспечения и проведения мероприятий по световой маскировке на территории муниципального образования в соответствии с действующими нормативно-правовыми актами в области гражданской обороны. </w:t>
      </w:r>
    </w:p>
    <w:p>
      <w:pPr>
        <w:jc w:val="both"/>
      </w:pPr>
      <w:r>
        <w:rPr>
          <w:b w:val="0"/>
          <w:i w:val="0"/>
        </w:rPr>
        <w:t>Планирование и проведение подготовительных мероприятий по организации световой маскировки осуществляется заблаговременно в мирное время в соответствии с требованиями действующих в этой сфере нормативно-правовых актов, ГОСТов и СНиПов. Нормативно-правовые акты и образцы документов по организации светомаскировки представлены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</w:t>
      </w:r>
    </w:p>
    <w:p>
      <w:pPr>
        <w:jc w:val="both"/>
      </w:pPr>
      <w:r>
        <w:rPr>
          <w:b w:val="0"/>
          <w:i w:val="0"/>
        </w:rPr>
        <w:t>Общее руководство и контроль выполнения светомаскировочных мероприятий на территории муниципального образования возлагается на управление ГОЧС администрации муниципального образования. Планирование, организацию, проведение и контроль мероприятий по светомаскировке осуществляет спасательная служба энергетики и светомаскировки муниципального образования.</w:t>
      </w:r>
    </w:p>
    <w:p>
      <w:pPr>
        <w:jc w:val="both"/>
      </w:pPr>
      <w:r>
        <w:rPr>
          <w:b w:val="0"/>
          <w:i w:val="0"/>
        </w:rPr>
        <w:t>Служба энергетики и светомаскировки вправе принимать решения, обязательные для выполнения предприятиями, организациями, учреждениями всех форм собственности на территории муниципального образования, связанные с планированием и всесторонней подготовкой к проведению мероприятий по световой маскировке.</w:t>
      </w:r>
    </w:p>
    <w:p>
      <w:r/>
    </w:p>
    <w:p>
      <w:pPr>
        <w:jc w:val="both"/>
      </w:pPr>
      <w:r>
        <w:rPr>
          <w:b/>
          <w:i w:val="0"/>
        </w:rPr>
        <w:t>Основные режимы и мероприятия светомаскировки</w:t>
      </w:r>
    </w:p>
    <w:p>
      <w:pPr>
        <w:jc w:val="both"/>
      </w:pPr>
      <w:r>
        <w:rPr>
          <w:b w:val="0"/>
          <w:i w:val="0"/>
        </w:rPr>
        <w:t>Светомаскировка должна проводиться для создания в темное время суток условий, затрудняющих обнаружение городских и сельских поселений и объектов экономики с воздуха путем визуального наблюдения или с помощью оптических приборов, рассчитанных на видимую область излучения (0,40-0,76 мкм).</w:t>
      </w:r>
    </w:p>
    <w:p>
      <w:pPr>
        <w:jc w:val="both"/>
      </w:pPr>
      <w:r>
        <w:rPr>
          <w:b w:val="0"/>
          <w:i w:val="0"/>
        </w:rPr>
        <w:t>Светомаскировка осуществляется в двух режимах – частичного и полного затемнения. Режим частичного затемнения следует рассматривать как подготовительный период к введению режима полного затемнения.</w:t>
      </w:r>
    </w:p>
    <w:p>
      <w:pPr>
        <w:jc w:val="both"/>
      </w:pPr>
      <w:r>
        <w:rPr>
          <w:b w:val="0"/>
          <w:i w:val="0"/>
        </w:rPr>
        <w:t>Подготовительные мероприятия, обеспечивающие организацию светомаскировки в этих двух режимах, проводятся заблаговременно в мирное время. При подготовке и проведении инженерно-технических мероприятий по светомаскировке населенных пунктов и объектов экономики используются соответствующие разделы «Инженерно-технические мероприятия гражданской обороны» в проектах на строительство новых, расширение, реконструкцию и техническое перевооружение действующих предприятий и электросетевых хозяйств.</w:t>
      </w:r>
    </w:p>
    <w:p>
      <w:pPr>
        <w:jc w:val="both"/>
      </w:pPr>
      <w:r>
        <w:rPr>
          <w:b w:val="0"/>
          <w:i w:val="0"/>
        </w:rPr>
        <w:t>Режим частичного затемнения вводится на весь период угрозы ведения военных действий и отменяется после прекращения этой угрозы. Режим частичного затемнения не должен нарушать нормальную деятельность учреждений и организаций, расположенных на территории муниципального образования.</w:t>
      </w:r>
    </w:p>
    <w:p>
      <w:pPr>
        <w:jc w:val="both"/>
      </w:pPr>
      <w:r>
        <w:rPr>
          <w:b w:val="0"/>
          <w:i w:val="0"/>
        </w:rPr>
        <w:t>При введении режима частичного затемнения выполняются следующие мероприятия:</w:t>
      </w:r>
    </w:p>
    <w:p>
      <w:pPr>
        <w:jc w:val="both"/>
      </w:pPr>
      <w:r>
        <w:rPr>
          <w:b w:val="0"/>
          <w:i w:val="0"/>
        </w:rPr>
        <w:t>- отключаются от источников питания или электрических сетей освещение территорий спортивных площадок, установки для архитектурной подсветки, осветительные приборы рекламного и витринного освещения. При этом должна быть исключена возможность их местного включения;</w:t>
      </w:r>
    </w:p>
    <w:p>
      <w:pPr>
        <w:jc w:val="both"/>
      </w:pPr>
      <w:r>
        <w:rPr>
          <w:b w:val="0"/>
          <w:i w:val="0"/>
        </w:rPr>
        <w:t>- снижаются уровни наружного освещения улиц, дорог, площадей, территорий парковых зон, бульваров, детских, школьных, лечебных учреждений и других объектов с нормируемыми значениями в обычном режиме средней освещенности путем выключения до половины осветительных приборов. При этом не допускается отключение двух рядом расположенных осветительных приборов;</w:t>
      </w:r>
    </w:p>
    <w:p>
      <w:pPr>
        <w:jc w:val="both"/>
      </w:pPr>
      <w:r>
        <w:rPr>
          <w:b w:val="0"/>
          <w:i w:val="0"/>
        </w:rPr>
        <w:t>- снижается освещенность в жилых, общественных и вспомогательных зданиях, в местах производства работ вне зданий, проходов, проездов и территорий организаций путем выключения части осветительных приборов, установки ламп пониженной мощности или применения регуляторов напряжения.</w:t>
      </w:r>
    </w:p>
    <w:p>
      <w:pPr>
        <w:jc w:val="both"/>
      </w:pPr>
      <w:r>
        <w:rPr>
          <w:b w:val="0"/>
          <w:i w:val="0"/>
        </w:rPr>
        <w:t>В режиме частичного затемнения проводится подготовка к использованию в режиме ложного освещения:</w:t>
      </w:r>
    </w:p>
    <w:p>
      <w:pPr>
        <w:jc w:val="both"/>
      </w:pPr>
      <w:r>
        <w:rPr>
          <w:b w:val="0"/>
          <w:i w:val="0"/>
        </w:rPr>
        <w:t>- устройств для световой маскировки проемов зданий и сооружений;</w:t>
      </w:r>
    </w:p>
    <w:p>
      <w:pPr>
        <w:jc w:val="both"/>
      </w:pPr>
      <w:r>
        <w:rPr>
          <w:b w:val="0"/>
          <w:i w:val="0"/>
        </w:rPr>
        <w:t>- специальных световых знаков для обозначения входов, выходов, путей эвакуации людей, объектов и размещения сил гражданской обороны, медицинских пунктов, мест размещения средств пожаротушения, запрещения прохода.</w:t>
      </w:r>
    </w:p>
    <w:p>
      <w:pPr>
        <w:jc w:val="both"/>
      </w:pPr>
      <w:r>
        <w:rPr>
          <w:b w:val="0"/>
          <w:i w:val="0"/>
        </w:rPr>
        <w:t>Переход с обычного освещения на режим частичного затемнения должен быть проведен не более чем за 3 часа.</w:t>
      </w:r>
    </w:p>
    <w:p>
      <w:pPr>
        <w:jc w:val="both"/>
      </w:pPr>
      <w:r>
        <w:rPr>
          <w:b w:val="0"/>
          <w:i w:val="0"/>
        </w:rPr>
        <w:t>В режиме частичного затемнения световой маскировке не подлежат:</w:t>
      </w:r>
    </w:p>
    <w:p>
      <w:pPr>
        <w:jc w:val="both"/>
      </w:pPr>
      <w:r>
        <w:rPr>
          <w:b w:val="0"/>
          <w:i w:val="0"/>
        </w:rPr>
        <w:t>- производственные огни, за исключением производственных огней, светомаскировка которых не может быть произведена за время перехода на режим полного затемнения;</w:t>
      </w:r>
    </w:p>
    <w:p>
      <w:pPr>
        <w:jc w:val="both"/>
      </w:pPr>
      <w:r>
        <w:rPr>
          <w:b w:val="0"/>
          <w:i w:val="0"/>
        </w:rPr>
        <w:t>- световые знаки мирного времени (дорожно-транспортные, различные световые указатели).</w:t>
      </w:r>
    </w:p>
    <w:p>
      <w:pPr>
        <w:jc w:val="both"/>
      </w:pPr>
      <w:r>
        <w:rPr>
          <w:b w:val="0"/>
          <w:i w:val="0"/>
        </w:rPr>
        <w:t>Режим полного затемнения вводится по сигналу "Воздушная тревога". Включение освещения в объеме режима частичного затемнения производится по сигналу "Отбой воздушной тревоги".</w:t>
      </w:r>
    </w:p>
    <w:p>
      <w:pPr>
        <w:jc w:val="both"/>
      </w:pPr>
      <w:r>
        <w:rPr>
          <w:b w:val="0"/>
          <w:i w:val="0"/>
        </w:rPr>
        <w:t>В режиме полного затемнения выполняются следующие мероприятия:</w:t>
      </w:r>
    </w:p>
    <w:p>
      <w:pPr>
        <w:jc w:val="both"/>
      </w:pPr>
      <w:r>
        <w:rPr>
          <w:b w:val="0"/>
          <w:i w:val="0"/>
        </w:rPr>
        <w:t>- отключается все наружное освещение территорий муниципального образования и организаций (учреждений, предприятий);</w:t>
      </w:r>
    </w:p>
    <w:p>
      <w:pPr>
        <w:jc w:val="both"/>
      </w:pPr>
      <w:r>
        <w:rPr>
          <w:b w:val="0"/>
          <w:i w:val="0"/>
        </w:rPr>
        <w:t>- осуществляется полное отключение источников освещения в жилых зданиях (независимо от пребывания людей), а также в помещениях общественных, производственных и вспомогательных зданий, в которых не предусмотрено пребывание людей в темное время суток или прекращается работа по сигналу "Воздушная тревога";</w:t>
      </w:r>
    </w:p>
    <w:p>
      <w:pPr>
        <w:jc w:val="both"/>
      </w:pPr>
      <w:r>
        <w:rPr>
          <w:b w:val="0"/>
          <w:i w:val="0"/>
        </w:rPr>
        <w:t>- осуществляется светомаскировка зданий или помещений, в которых продолжается работа при подаче сигнала "Воздушная тревога" или по условиям производства невозможно безаварийное отключение освещения (светотехническим или механическим способом);</w:t>
      </w:r>
    </w:p>
    <w:p>
      <w:pPr>
        <w:jc w:val="both"/>
      </w:pPr>
      <w:r>
        <w:rPr>
          <w:b w:val="0"/>
          <w:i w:val="0"/>
        </w:rPr>
        <w:t>- отключаются осветительные приборы, устанавливаемые у входов и въездов в здания и питаемые от сетей внутреннего освещения, не включенные в систему централизованного управления наружным освещением;</w:t>
      </w:r>
    </w:p>
    <w:p>
      <w:pPr>
        <w:jc w:val="both"/>
      </w:pPr>
      <w:r>
        <w:rPr>
          <w:b w:val="0"/>
          <w:i w:val="0"/>
        </w:rPr>
        <w:t>- выключаются световые знаки мирного времени (дорожно-транспортные, различные световые указатели);</w:t>
      </w:r>
    </w:p>
    <w:p>
      <w:pPr>
        <w:jc w:val="both"/>
      </w:pPr>
      <w:r>
        <w:rPr>
          <w:b w:val="0"/>
          <w:i w:val="0"/>
        </w:rPr>
        <w:t>- обеспечивается маскировочное стационарное или автономное освещение с помощью переносных фонарей в местах проведения неотложных производственных, аварийно-спасательных и других неотложных работ, а также на опасных участках путей эвакуации людей;</w:t>
      </w:r>
    </w:p>
    <w:p>
      <w:pPr>
        <w:jc w:val="both"/>
      </w:pPr>
      <w:r>
        <w:rPr>
          <w:b w:val="0"/>
          <w:i w:val="0"/>
        </w:rPr>
        <w:t>- обеспечивается освещение ложных или менее значимых объектов.</w:t>
      </w:r>
    </w:p>
    <w:p>
      <w:pPr>
        <w:jc w:val="both"/>
      </w:pPr>
      <w:r>
        <w:rPr>
          <w:b w:val="0"/>
          <w:i w:val="0"/>
        </w:rPr>
        <w:t>Переход с режима частичного затемнения на режим полного затемнения осуществляется не более чем за 3 мин.</w:t>
      </w:r>
    </w:p>
    <w:p>
      <w:r/>
    </w:p>
    <w:p/>
    <w:p>
      <w:r>
        <w:rPr>
          <w:b/>
        </w:rPr>
        <w:t>Примечания</w:t>
      </w:r>
    </w:p>
    <w:p>
      <w:r>
        <w:t>29. Статья 2 «Задачи в области гражданской обороны» Федерального закона от 12.02.1998 N 28-ФЗ "О гражданской обороне".</w:t>
      </w:r>
    </w:p>
    <w:p>
      <w:r>
        <w:t>30. Утверждено Постановлением Правительства РФ от 26.11.2007 N 804.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VPmddMuChERjaX3TfirurJZDtQBOnSVT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