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ОЦЕНКА СООТВЕТСТВИЯ ОБЪЕКТОВ КАПИТАЛЬНОГО СТРОИТЕЛЬСТВА ТРЕБОВАНИЯМ ГРАЖДАНСКОЙ ОБОРОНЫ</w:t>
      </w:r>
    </w:p>
    <w:p>
      <w:r>
        <w:rPr>
          <w:b/>
        </w:rPr>
        <w:t>Рубрика: ГРАЖДАНСКАЯ ОБОРОНА</w:t>
        <w:br/>
      </w:r>
      <w:r>
        <w:t>Автор: Ильин Е.С. Московский государственный строительный университет</w:t>
        <w:br/>
      </w:r>
    </w:p>
    <w:p/>
    <w:p>
      <w:r/>
    </w:p>
    <w:p>
      <w:r/>
    </w:p>
    <w:p>
      <w:r>
        <w:rPr>
          <w:b/>
          <w:i w:val="0"/>
        </w:rPr>
        <w:t>В статье рассмотрены нормативно-правовые и организационные аспекты проведения оценки соответствия объектов капитального строительства (ОКС) требованиям гражданской обороны. Особое внимание уделено оценке защитных сооружений гражданской обороны (ЗСГО) и иных объектов ГО, относящихся к ОКС.</w:t>
      </w:r>
    </w:p>
    <w:p>
      <w:r/>
    </w:p>
    <w:p>
      <w:pPr>
        <w:jc w:val="both"/>
      </w:pPr>
      <w:r>
        <w:rPr>
          <w:b/>
          <w:i w:val="0"/>
        </w:rPr>
        <w:t>Введение</w:t>
      </w:r>
    </w:p>
    <w:p>
      <w:pPr>
        <w:jc w:val="both"/>
      </w:pPr>
      <w:r>
        <w:rPr>
          <w:b w:val="0"/>
          <w:i w:val="0"/>
        </w:rPr>
        <w:t>Вопрос оценки соответствия объектов капитального строительства (ОКС)</w:t>
      </w:r>
      <w:r>
        <w:rPr>
          <w:vertAlign w:val="superscript"/>
        </w:rPr>
        <w:t>1</w:t>
      </w:r>
      <w:r>
        <w:rPr>
          <w:b w:val="0"/>
          <w:i w:val="0"/>
        </w:rPr>
        <w:t xml:space="preserve"> требованиям в области гражданской обороны (ГО) остается одним из наиболее сложных в организационном плане. С одной стороны, существует целая система нормативно-правовых и технических требований – от федеральных законов и постановлений Правительства до национальных стандартов и сводов правил. С другой – специального приказа МЧС России, который бы четко и исчерпывающе отрегулировал именно «оценку соответствия объектов ОКС требованиям ГО» как комплексную процедуру, до настоящего времени не принято.</w:t>
      </w:r>
      <w:r>
        <w:rPr>
          <w:vertAlign w:val="superscript"/>
        </w:rPr>
        <w:t>2</w:t>
      </w:r>
      <w:r>
        <w:rPr>
          <w:b w:val="0"/>
          <w:i w:val="0"/>
        </w:rPr>
        <w:t xml:space="preserve"> </w:t>
      </w:r>
    </w:p>
    <w:p>
      <w:pPr>
        <w:jc w:val="both"/>
      </w:pPr>
      <w:r>
        <w:rPr>
          <w:b w:val="0"/>
          <w:i w:val="0"/>
        </w:rPr>
        <w:t xml:space="preserve">Тем не менее, в комплексе действующих нормативно-правовых актов проглядывается достаточно стройная система: </w:t>
      </w:r>
    </w:p>
    <w:p>
      <w:pPr>
        <w:jc w:val="both"/>
      </w:pPr>
      <w:r>
        <w:rPr>
          <w:b w:val="0"/>
          <w:i w:val="0"/>
        </w:rPr>
        <w:t xml:space="preserve">- требования ГО к ОКС существуют и юридически закреплены соответствующими нормативно-правовыми актами; </w:t>
      </w:r>
    </w:p>
    <w:p>
      <w:pPr>
        <w:jc w:val="both"/>
      </w:pPr>
      <w:r>
        <w:rPr>
          <w:b w:val="0"/>
          <w:i w:val="0"/>
        </w:rPr>
        <w:t xml:space="preserve">- инструменты их проверки (экспертиза проектной документации, строительный надзор, оценка технического состояния) предусмотрены; </w:t>
      </w:r>
    </w:p>
    <w:p>
      <w:pPr>
        <w:jc w:val="both"/>
      </w:pPr>
      <w:r>
        <w:rPr>
          <w:b w:val="0"/>
          <w:i w:val="0"/>
        </w:rPr>
        <w:t>- методики оценки защитных сооружений ГО имеются.</w:t>
      </w:r>
    </w:p>
    <w:p>
      <w:pPr>
        <w:jc w:val="both"/>
      </w:pPr>
      <w:r>
        <w:rPr>
          <w:b w:val="0"/>
          <w:i w:val="0"/>
        </w:rPr>
        <w:t>Задача специалиста по гражданской обороне – свести все это воедино и правильно применять на практике. К сожалению, в настоящее время единого нормативно-правового акта или методических указаний (рекомендаций), охватывающих все этапы проведения оценки соответствия ОКС требованиям ГО, нет.</w:t>
      </w:r>
    </w:p>
    <w:p>
      <w:r/>
    </w:p>
    <w:p>
      <w:pPr>
        <w:jc w:val="both"/>
      </w:pPr>
      <w:r>
        <w:rPr>
          <w:b/>
          <w:i w:val="0"/>
        </w:rPr>
        <w:t>Нормативно-правовое регулирование</w:t>
      </w:r>
    </w:p>
    <w:p>
      <w:pPr>
        <w:jc w:val="both"/>
      </w:pPr>
      <w:hyperlink r:id="rId9">
        <w:r>
          <w:rPr>
            <w:color w:val="0563C1"/>
            <w:u w:val="single"/>
          </w:rPr>
          <w:t xml:space="preserve">Основополагающим документом является Федеральный закон от 12.02.1998 N 28-ФЗ «О гражданской обороне»</w:t>
        </w:r>
      </w:hyperlink>
      <w:r>
        <w:rPr>
          <w:b w:val="0"/>
          <w:i w:val="0"/>
        </w:rPr>
        <w:t xml:space="preserve">. Закон устанавливает, что подготовка государства к ведению гражданской обороны осуществляется заблаговременно в мирное время, в том числе путем создания объектов ГО. </w:t>
      </w:r>
    </w:p>
    <w:p>
      <w:pPr>
        <w:jc w:val="both"/>
      </w:pPr>
      <w:hyperlink r:id="rId10">
        <w:r>
          <w:rPr>
            <w:color w:val="0563C1"/>
            <w:u w:val="single"/>
          </w:rPr>
          <w:t xml:space="preserve">Следующим по уровню документом является Постановление Правительства РФ от 26.11.2007 N 804 «Об утверждении Положения о гражданской обороне в Российской Федерации»</w:t>
        </w:r>
      </w:hyperlink>
      <w:hyperlink r:id="rId11">
        <w:r>
          <w:rPr>
            <w:color w:val="0563C1"/>
            <w:u w:val="single"/>
          </w:rPr>
          <w:t xml:space="preserve">. Оно конкретизирует организацию и ведение ГО, в том числе применительно к строительству и эксплуатации объектов. Параллельно действует Постановление Правительства РФ от 29.11.1999 N 1309 «О порядке создания убежищ и иных объектов гражданской обороны»</w:t>
        </w:r>
      </w:hyperlink>
      <w:r>
        <w:rPr>
          <w:b w:val="0"/>
          <w:i w:val="0"/>
        </w:rPr>
        <w:t>, которое устанавливает порядок создания ЗСГО и определяет полномочия федеральных органов исполнительной власти, органов государственной власти субъектов РФ, местного самоуправления и организаций. Именно в этом документе прописано, что МЧС России организует проведение оценки соответствия объекта капитального строительства и его частей требованиям гражданской обороны (пункт 14).</w:t>
      </w:r>
    </w:p>
    <w:p>
      <w:pPr>
        <w:jc w:val="both"/>
      </w:pPr>
      <w:hyperlink r:id="rId12">
        <w:r>
          <w:rPr>
            <w:color w:val="0563C1"/>
            <w:u w:val="single"/>
          </w:rPr>
          <w:t xml:space="preserve">Важную роль играет Федеральный закон от 30.12.2009 N 384-ФЗ «Технический регламент о безопасности зданий и сооружений»</w:t>
        </w:r>
      </w:hyperlink>
      <w:r>
        <w:rPr>
          <w:b w:val="0"/>
          <w:i w:val="0"/>
        </w:rPr>
        <w:t>. Этот документ определяет общую систему оценки соответствия строительных объектов, в том числе в форме государственной экспертизы проектной документации и строительного надзора. Требования ГО к объектам строительства реализуются через соблюдение технических норм, установленных в ГОСТах и сводах правил, принятых в развитие этого технического регламента.</w:t>
      </w:r>
    </w:p>
    <w:p>
      <w:pPr>
        <w:jc w:val="both"/>
      </w:pPr>
      <w:r>
        <w:rPr>
          <w:b w:val="0"/>
          <w:i w:val="0"/>
        </w:rPr>
        <w:t>Градостроительный кодекс РФ от 29.12.2004 N 190-ФЗ (далее – ГрК РФ) определяет основные формы оценки соответствия объектов капитального строительства, в том числе применительно к нуждам ГО, включающие:</w:t>
      </w:r>
    </w:p>
    <w:p>
      <w:pPr>
        <w:jc w:val="both"/>
      </w:pPr>
      <w:r>
        <w:rPr>
          <w:b w:val="0"/>
          <w:i w:val="0"/>
        </w:rPr>
        <w:t>- государственную экспертизу проектной документации (ст. 49 ГрК РФ), включающую проверку раздела «Перечень мероприятий по гражданской обороне, мероприятия по предупреждению чрезвычайных ситуаций» (подраздел ПМ ГОЧС);</w:t>
      </w:r>
    </w:p>
    <w:p>
      <w:pPr>
        <w:jc w:val="both"/>
      </w:pPr>
      <w:r>
        <w:rPr>
          <w:b w:val="0"/>
          <w:i w:val="0"/>
        </w:rPr>
        <w:t>- государственный строительный надзор (ст. 54 ГрК РФ), включающую проверку соответствия хода строительства проектной документации, прошедшей экспертизу, в том числе в части мероприятий ГО;</w:t>
      </w:r>
    </w:p>
    <w:p>
      <w:pPr>
        <w:jc w:val="both"/>
      </w:pPr>
      <w:r>
        <w:rPr>
          <w:b w:val="0"/>
          <w:i w:val="0"/>
        </w:rPr>
        <w:t>- выдачу разрешения на ввод объекта в эксплуатацию (ст. 55 ГрК РФ) – документа, удостоверяющего выполнение строительства в соответствии с требованиями, включая требования в области ГО.</w:t>
      </w:r>
    </w:p>
    <w:p>
      <w:pPr>
        <w:jc w:val="both"/>
      </w:pPr>
      <w:r>
        <w:rPr>
          <w:b w:val="0"/>
          <w:i w:val="0"/>
        </w:rPr>
        <w:t>Постановление Правительства РФ от 16.02.2008 N 87 «О составе разделов проектной документации и требованиях к их содержанию» закрепляет обязанность включать раздел ПМ ГОЧС в состав проектной документации на объекты ОКС в предусмотренных случаях. Таким образом, экспертиза проектной документации является главной отправной «точкой оценки соответствия» требованиям ГО еще на стадии проектирования.</w:t>
      </w:r>
    </w:p>
    <w:p>
      <w:r/>
    </w:p>
    <w:p>
      <w:pPr>
        <w:jc w:val="both"/>
      </w:pPr>
      <w:r>
        <w:rPr>
          <w:b/>
          <w:i w:val="0"/>
        </w:rPr>
        <w:t>Объекты гражданской обороны</w:t>
      </w:r>
    </w:p>
    <w:p>
      <w:pPr>
        <w:jc w:val="both"/>
      </w:pPr>
      <w:r>
        <w:rPr>
          <w:b w:val="0"/>
          <w:i w:val="0"/>
        </w:rPr>
        <w:t>Объекты ГО могут быть как отдельно стоящими, так и встроенными в объекты капитального строительства. Встроенные защитные сооружения – типичный случай, когда объект ОКС (здание, сооружение) или его часть должны соответствовать специальным требованиям ГО.</w:t>
      </w:r>
    </w:p>
    <w:p>
      <w:pPr>
        <w:jc w:val="both"/>
      </w:pPr>
      <w:r>
        <w:rPr>
          <w:b w:val="0"/>
          <w:i w:val="0"/>
        </w:rPr>
        <w:t>К объектам гражданской обороны относятся:</w:t>
      </w:r>
      <w:r>
        <w:rPr>
          <w:vertAlign w:val="superscript"/>
        </w:rPr>
        <w:t>3</w:t>
      </w:r>
    </w:p>
    <w:p>
      <w:pPr>
        <w:jc w:val="both"/>
      </w:pPr>
      <w:r>
        <w:rPr>
          <w:b w:val="0"/>
          <w:i w:val="0"/>
        </w:rPr>
        <w:t>- убежище – защитное сооружение гражданской обороны, предназначенное для защиты укрываемых в течение нормативного времени от расчетного воздействия поражающих факторов ядерного, химического, биологического оружия и обычных средств поражения, поражающих концентраций аварийно химически опасных веществ на потенциально опасных объектах, биологических средств поражения, патогенных микроорганизмов и токсинов при авариях на потенциально опасных биологических объектах, ионизирующих излучений при радиационных авариях, а также от высоких температур и продуктов горения при пожарах;</w:t>
      </w:r>
    </w:p>
    <w:p>
      <w:pPr>
        <w:jc w:val="both"/>
      </w:pPr>
      <w:r>
        <w:rPr>
          <w:b w:val="0"/>
          <w:i w:val="0"/>
        </w:rPr>
        <w:t>- противорадиационное укрытие – защитное сооружение гражданской обороны, предназначенное для защиты укрываемых от воздействия ионизирующих излучений при радиоактивном загрязнении местности и допускающее непрерывное пребывание в нем укрываемых в течение нормативного времени;</w:t>
      </w:r>
    </w:p>
    <w:p>
      <w:pPr>
        <w:jc w:val="both"/>
      </w:pPr>
      <w:r>
        <w:rPr>
          <w:b w:val="0"/>
          <w:i w:val="0"/>
        </w:rPr>
        <w:t>- укрытие – защитное сооружение гражданской обороны, предназначенное для защиты укрываемых от фугасного и осколочного действия обычных средств поражения, поражения обломками строительных конструкций, а также от обрушения конструкций вышерасположенных этажей зданий различной этажности;</w:t>
      </w:r>
    </w:p>
    <w:p>
      <w:pPr>
        <w:jc w:val="both"/>
      </w:pPr>
      <w:r>
        <w:rPr>
          <w:b w:val="0"/>
          <w:i w:val="0"/>
        </w:rPr>
        <w:t>- специализированное складское помещение (место хранения) – помещение, предназначенное для хранения размещенного в нем имущества гражданской обороны и выдачи его в установленном порядке;</w:t>
      </w:r>
    </w:p>
    <w:p>
      <w:pPr>
        <w:jc w:val="both"/>
      </w:pPr>
      <w:r>
        <w:rPr>
          <w:b w:val="0"/>
          <w:i w:val="0"/>
        </w:rPr>
        <w:t>- санитарно-обмывочный пункт – комплекс помещений, технических и материальных средств, предназначенных для смены одежды, обуви, санитарной обработки населения, контроля радиоактивного загрязнения кожных покровов, средств индивидуальной защиты, специальной и личной одежды людей;</w:t>
      </w:r>
    </w:p>
    <w:p>
      <w:pPr>
        <w:jc w:val="both"/>
      </w:pPr>
      <w:r>
        <w:rPr>
          <w:b w:val="0"/>
          <w:i w:val="0"/>
        </w:rPr>
        <w:t>- станция обеззараживания одежды – комплекс помещений, технических и материальных средств, предназначенных для специальной обработки одежды, обуви, а также для пропитки одежды защитными составами;</w:t>
      </w:r>
    </w:p>
    <w:p>
      <w:pPr>
        <w:jc w:val="both"/>
      </w:pPr>
      <w:r>
        <w:rPr>
          <w:b w:val="0"/>
          <w:i w:val="0"/>
        </w:rPr>
        <w:t>- станция обеззараживания техники – комплекс помещений, технических и материальных средств, предназначенных для специальной обработки подвижного состава транспорта;</w:t>
      </w:r>
    </w:p>
    <w:p>
      <w:pPr>
        <w:jc w:val="both"/>
      </w:pPr>
      <w:r>
        <w:rPr>
          <w:b w:val="0"/>
          <w:i w:val="0"/>
        </w:rPr>
        <w:t>- заглубленное помещение, приспособленное для укрытия населения, – часть здания или сооружения, полностью или частично заглубленного в грунт, ограниченная ограждающими и несущими строительными конструкциями, способная обеспечить защиту укрываемого населения от фугасного и осколочного действия обычных средств поражения;</w:t>
      </w:r>
    </w:p>
    <w:p>
      <w:pPr>
        <w:jc w:val="both"/>
      </w:pPr>
      <w:r>
        <w:rPr>
          <w:b w:val="0"/>
          <w:i w:val="0"/>
        </w:rPr>
        <w:t>- иные объекты гражданской обороны – объекты, предназначенные для обеспечения проведения мероприятий по гражданской обороне, в том числе для санитарной обработки людей и животных, дезактивации дорог, зданий и сооружений, специальной обработки одежды, транспортных средств и других неотложных работ.</w:t>
      </w:r>
    </w:p>
    <w:p>
      <w:r/>
    </w:p>
    <w:p>
      <w:pPr>
        <w:jc w:val="both"/>
      </w:pPr>
      <w:r>
        <w:rPr>
          <w:b/>
          <w:i w:val="0"/>
        </w:rPr>
        <w:t>Защитные сооружения гражданской обороны как объекты капитального строительства</w:t>
      </w:r>
    </w:p>
    <w:p>
      <w:pPr>
        <w:jc w:val="both"/>
      </w:pPr>
      <w:r>
        <w:rPr>
          <w:b w:val="0"/>
          <w:i w:val="0"/>
        </w:rPr>
        <w:t>Практически все защитные сооружения гражданской обороны, кроме временно возводимых, относятся к объектам капитального строительства. Отношение к ЗСГО как к объекту капитального строительства особое, так как обеспечение населения средствами коллективной защиты является одной из основных задач гражданской обороны.</w:t>
      </w:r>
      <w:r>
        <w:rPr>
          <w:vertAlign w:val="superscript"/>
        </w:rPr>
        <w:t>4</w:t>
      </w:r>
      <w:r>
        <w:rPr>
          <w:b w:val="0"/>
          <w:i w:val="0"/>
        </w:rPr>
        <w:t xml:space="preserve"> Для решения этой задачи в соответствии с пунктом 10 Положения о гражданской обороне в Российской Федерации</w:t>
      </w:r>
      <w:r>
        <w:rPr>
          <w:vertAlign w:val="superscript"/>
        </w:rPr>
        <w:t>5</w:t>
      </w:r>
      <w:r>
        <w:rPr>
          <w:b w:val="0"/>
          <w:i w:val="0"/>
        </w:rPr>
        <w:t xml:space="preserve"> планируются и проводятся мероприятия по строительству, сохранению, поддержанию в состоянии постоянной готовности к использованию по предназначению и техническое обслуживание ЗСГО и их технических систем. Все они должны соответствовать установленным нормативно-правовым и техническим требованиям, соблюдение которых должно проверяться при проведении государственного надзора и иных видов контроля в области гражданской обороны. </w:t>
      </w:r>
    </w:p>
    <w:p>
      <w:pPr>
        <w:jc w:val="both"/>
      </w:pPr>
      <w:r>
        <w:rPr>
          <w:b w:val="0"/>
          <w:i w:val="0"/>
        </w:rPr>
        <w:t>Основными нормативными актами, содержащими технические и организационно-технические требования к ЗСГО, являются:</w:t>
      </w:r>
    </w:p>
    <w:p>
      <w:pPr>
        <w:jc w:val="both"/>
      </w:pPr>
      <w:r>
        <w:rPr>
          <w:b w:val="0"/>
          <w:i w:val="0"/>
        </w:rPr>
        <w:t xml:space="preserve">- </w:t>
      </w:r>
      <w:hyperlink r:id="rId13">
        <w:r>
          <w:rPr>
            <w:color w:val="0563C1"/>
            <w:u w:val="single"/>
          </w:rPr>
          <w:t xml:space="preserve">СП 88.13330.2022.</w:t>
        </w:r>
      </w:hyperlink>
      <w:r>
        <w:rPr>
          <w:b w:val="0"/>
          <w:i w:val="0"/>
        </w:rPr>
        <w:t xml:space="preserve"> Свод правил. Защитные сооружения гражданской обороны. СНиП II-11-77*.</w:t>
      </w:r>
      <w:r>
        <w:rPr>
          <w:vertAlign w:val="superscript"/>
        </w:rPr>
        <w:t>6</w:t>
      </w:r>
      <w:r>
        <w:rPr>
          <w:b w:val="0"/>
          <w:i w:val="0"/>
        </w:rPr>
        <w:t xml:space="preserve"> Документ устанавливает порядок инженерных расчетов с учетом динамических нагрузок, требования объемно-планировочным и конструктивным решениям, санитарно-техническим системам, электротехническим устройствам, связи, противопожарные требования к ЗСГО, заглубленным помещениям и сооружениям подземного пространства, а также требования к проведению обследований технического состояния.</w:t>
      </w:r>
    </w:p>
    <w:p>
      <w:pPr>
        <w:jc w:val="both"/>
      </w:pPr>
      <w:r>
        <w:rPr>
          <w:b w:val="0"/>
          <w:i w:val="0"/>
        </w:rPr>
        <w:t xml:space="preserve">- </w:t>
      </w:r>
      <w:hyperlink r:id="rId14">
        <w:r>
          <w:rPr>
            <w:color w:val="0563C1"/>
            <w:u w:val="single"/>
          </w:rPr>
          <w:t xml:space="preserve">СП 165.1325800.2014.</w:t>
        </w:r>
      </w:hyperlink>
      <w:r>
        <w:rPr>
          <w:b w:val="0"/>
          <w:i w:val="0"/>
        </w:rPr>
        <w:t xml:space="preserve"> Свод правил. Инженерно-технические мероприятия по гражданской обороне. Актуализированная редакция </w:t>
      </w:r>
      <w:hyperlink r:id="rId14">
        <w:r>
          <w:rPr>
            <w:color w:val="0563C1"/>
            <w:u w:val="single"/>
          </w:rPr>
          <w:t xml:space="preserve">СНиП 2.01.51-90</w:t>
        </w:r>
      </w:hyperlink>
      <w:r>
        <w:rPr>
          <w:vertAlign w:val="superscript"/>
        </w:rPr>
        <w:t>7</w:t>
      </w:r>
      <w:r>
        <w:rPr>
          <w:b w:val="0"/>
          <w:i w:val="0"/>
        </w:rPr>
        <w:t xml:space="preserve"> (глава 7);</w:t>
      </w:r>
    </w:p>
    <w:p>
      <w:pPr>
        <w:jc w:val="both"/>
      </w:pPr>
      <w:r>
        <w:rPr>
          <w:b w:val="0"/>
          <w:i w:val="0"/>
        </w:rPr>
        <w:t xml:space="preserve">- </w:t>
      </w:r>
      <w:hyperlink r:id="rId15">
        <w:r>
          <w:rPr>
            <w:color w:val="0563C1"/>
            <w:u w:val="single"/>
          </w:rPr>
          <w:t xml:space="preserve">ГОСТ Р 42.4.03-2022</w:t>
        </w:r>
      </w:hyperlink>
      <w:r>
        <w:rPr>
          <w:b w:val="0"/>
          <w:i w:val="0"/>
        </w:rPr>
        <w:t xml:space="preserve"> «Гражданская оборона. Защитные сооружения гражданской обороны. Классификация. Общие технические требования»</w:t>
      </w:r>
      <w:r>
        <w:rPr>
          <w:vertAlign w:val="superscript"/>
        </w:rPr>
        <w:t>8</w:t>
      </w:r>
      <w:r>
        <w:rPr>
          <w:b w:val="0"/>
          <w:i w:val="0"/>
        </w:rPr>
        <w:t xml:space="preserve"> устанавливает классификацию ЗСГО и общие технические требования, предъявляемые к ним. Документ является базовым при оценке соответствия сооружений их целевому назначению и техническому классу.</w:t>
      </w:r>
    </w:p>
    <w:p>
      <w:r>
        <w:rPr>
          <w:b w:val="0"/>
          <w:i w:val="0"/>
        </w:rPr>
        <w:t xml:space="preserve">- </w:t>
      </w:r>
      <w:hyperlink r:id="rId16">
        <w:r>
          <w:rPr>
            <w:color w:val="0563C1"/>
            <w:u w:val="single"/>
          </w:rPr>
          <w:t xml:space="preserve">ГОСТ Р 42.4.09-2021</w:t>
        </w:r>
      </w:hyperlink>
      <w:r>
        <w:rPr>
          <w:b w:val="0"/>
          <w:i w:val="0"/>
        </w:rPr>
        <w:t xml:space="preserve"> «Гражданская оборона. Защитные сооружения гражданской обороны. Порядок оценки готовности»</w:t>
      </w:r>
      <w:r>
        <w:rPr>
          <w:vertAlign w:val="superscript"/>
        </w:rPr>
        <w:t>9</w:t>
      </w:r>
      <w:r>
        <w:rPr>
          <w:b w:val="0"/>
          <w:i w:val="0"/>
        </w:rPr>
        <w:t xml:space="preserve">  – специализированный стандарт, устанавливающий порядок оценки технического состояния ЗСГО и их готовности к приему укрываемых. Фактически это ближайший аналог «оценки соответствия», адресованный именно защитным сооружениям.</w:t>
      </w:r>
    </w:p>
    <w:p>
      <w:pPr>
        <w:jc w:val="both"/>
      </w:pPr>
      <w:hyperlink r:id="rId17">
        <w:r>
          <w:rPr>
            <w:color w:val="0563C1"/>
            <w:u w:val="single"/>
          </w:rPr>
          <w:t xml:space="preserve">- приказ МЧС России от 15.12.2002 N 583 "Об утверждении и введении в действие Правил эксплуатации защитных сооружений гражданской обороны"</w:t>
        </w:r>
      </w:hyperlink>
      <w:r>
        <w:rPr>
          <w:b w:val="0"/>
          <w:i w:val="0"/>
        </w:rPr>
        <w:t xml:space="preserve"> – устанавливает требования при эксплуатации в режиме повседневной деятельности, в военное время и при ЧС объектов ГО.</w:t>
      </w:r>
    </w:p>
    <w:p>
      <w:pPr>
        <w:jc w:val="both"/>
      </w:pPr>
      <w:hyperlink r:id="rId18">
        <w:r>
          <w:rPr>
            <w:color w:val="0563C1"/>
            <w:u w:val="single"/>
          </w:rPr>
          <w:t xml:space="preserve">- приказ МЧС России от 21.07.2005 N 575 "Об утверждении Порядка содержания и использования защитных сооружений гражданской обороны в мирное время"</w:t>
        </w:r>
      </w:hyperlink>
      <w:r>
        <w:rPr>
          <w:b w:val="0"/>
          <w:i w:val="0"/>
        </w:rPr>
        <w:t>;</w:t>
      </w:r>
    </w:p>
    <w:p>
      <w:pPr>
        <w:jc w:val="both"/>
      </w:pPr>
      <w:r>
        <w:rPr>
          <w:b w:val="0"/>
          <w:i w:val="0"/>
        </w:rPr>
        <w:t>- методические рекомендации по определению готовности защитных сооружений гражданской обороны к приему укрываемых и обеспеченности ими установленных категорий населения</w:t>
      </w:r>
      <w:r>
        <w:rPr>
          <w:vertAlign w:val="superscript"/>
        </w:rPr>
        <w:t>10</w:t>
      </w:r>
      <w:r>
        <w:rPr>
          <w:b w:val="0"/>
          <w:i w:val="0"/>
        </w:rPr>
        <w:t>;</w:t>
      </w:r>
    </w:p>
    <w:p>
      <w:pPr>
        <w:jc w:val="both"/>
      </w:pPr>
      <w:r>
        <w:rPr>
          <w:b w:val="0"/>
          <w:i w:val="0"/>
        </w:rPr>
        <w:t>- рекомендации федеральным органам исполнительной власти (государственным корпорациям) по проведению инвентаризации защитных сооружений гражданской обороны</w:t>
      </w:r>
      <w:r>
        <w:rPr>
          <w:vertAlign w:val="superscript"/>
        </w:rPr>
        <w:t>11</w:t>
      </w:r>
      <w:r>
        <w:rPr>
          <w:b w:val="0"/>
          <w:i w:val="0"/>
        </w:rPr>
        <w:t>;</w:t>
      </w:r>
    </w:p>
    <w:p>
      <w:pPr>
        <w:jc w:val="both"/>
      </w:pPr>
      <w:r>
        <w:rPr>
          <w:b w:val="0"/>
          <w:i w:val="0"/>
        </w:rPr>
        <w:t>- комплекс стандартов по ЗСГО, включая их техническое оснащение (перечень стандартов представлен в приложении к статье);</w:t>
      </w:r>
    </w:p>
    <w:p>
      <w:pPr>
        <w:jc w:val="both"/>
      </w:pPr>
      <w:r>
        <w:rPr>
          <w:b w:val="0"/>
          <w:i w:val="0"/>
        </w:rPr>
        <w:t>- иные нормативно-правовые и методические документы федерального, регионального и муниципального уровня, касающиеся создания, обеспечения функционирования и поддержания в состоянии готовности защитных сооружений гражданской обороны.</w:t>
      </w:r>
    </w:p>
    <w:p>
      <w:r/>
    </w:p>
    <w:p>
      <w:pPr>
        <w:jc w:val="both"/>
      </w:pPr>
      <w:r>
        <w:rPr>
          <w:b/>
          <w:i w:val="0"/>
        </w:rPr>
        <w:t>Содержание раздела «Перечень мероприятий ГОЧС» в проектной документации</w:t>
      </w:r>
    </w:p>
    <w:p>
      <w:pPr>
        <w:jc w:val="both"/>
      </w:pPr>
      <w:r>
        <w:rPr>
          <w:b w:val="0"/>
          <w:i w:val="0"/>
        </w:rPr>
        <w:t>Требования ГО при строительстве должны быть отражены в разделе «Перечень мероприятий по гражданской обороне и предупреждению чрезвычайных ситуаций природного и техногенного характера» (ПМ ГОЧС</w:t>
      </w:r>
      <w:r>
        <w:rPr>
          <w:vertAlign w:val="superscript"/>
        </w:rPr>
        <w:t>12</w:t>
      </w:r>
      <w:r>
        <w:rPr>
          <w:b w:val="0"/>
          <w:i w:val="0"/>
        </w:rPr>
        <w:t xml:space="preserve">). Его разработка регламентирована </w:t>
      </w:r>
      <w:hyperlink r:id="rId19">
        <w:r>
          <w:rPr>
            <w:color w:val="0563C1"/>
            <w:u w:val="single"/>
          </w:rPr>
          <w:t xml:space="preserve">ГОСТ Р 22.2.13-2023</w:t>
        </w:r>
      </w:hyperlink>
      <w:r>
        <w:rPr>
          <w:b w:val="0"/>
          <w:i w:val="0"/>
        </w:rPr>
        <w:t xml:space="preserve"> «Безопасность в чрезвычайных ситуациях. Порядок разработки перечня мероприятий по гражданской обороне, мероприятий по предупреждению чрезвычайных ситуаций природного и техногенного характера при проектировании объектов капитального строительства»</w:t>
      </w:r>
      <w:r>
        <w:rPr>
          <w:vertAlign w:val="superscript"/>
        </w:rPr>
        <w:t>13</w:t>
      </w:r>
      <w:r>
        <w:rPr>
          <w:b w:val="0"/>
          <w:i w:val="0"/>
        </w:rPr>
        <w:t xml:space="preserve">. Стандарт предназначен для применения при разработке перечня мероприятий ГО в составе проектной документации на строительство ОКС, в том числе при отдельных этапах строительства, реконструкции и капитального ремонта. </w:t>
      </w:r>
    </w:p>
    <w:p>
      <w:pPr>
        <w:jc w:val="both"/>
      </w:pPr>
      <w:r>
        <w:rPr>
          <w:b w:val="0"/>
          <w:i w:val="0"/>
        </w:rPr>
        <w:t>Раздел ПМ ГОЧС при проектировании ОКС включает:</w:t>
      </w:r>
    </w:p>
    <w:p>
      <w:pPr>
        <w:jc w:val="both"/>
      </w:pPr>
      <w:r>
        <w:rPr>
          <w:b w:val="0"/>
          <w:i w:val="0"/>
        </w:rPr>
        <w:t>- сведения о категории объекта по ГО;</w:t>
      </w:r>
    </w:p>
    <w:p>
      <w:pPr>
        <w:jc w:val="both"/>
      </w:pPr>
      <w:r>
        <w:rPr>
          <w:b w:val="0"/>
          <w:i w:val="0"/>
        </w:rPr>
        <w:t>- сведения о группе города по ГО;</w:t>
      </w:r>
    </w:p>
    <w:p>
      <w:pPr>
        <w:jc w:val="both"/>
      </w:pPr>
      <w:r>
        <w:rPr>
          <w:b w:val="0"/>
          <w:i w:val="0"/>
        </w:rPr>
        <w:t>- требования к защитным сооружениям ГО, предусматриваемым в составе объекта;</w:t>
      </w:r>
    </w:p>
    <w:p>
      <w:pPr>
        <w:jc w:val="both"/>
      </w:pPr>
      <w:r>
        <w:rPr>
          <w:b w:val="0"/>
          <w:i w:val="0"/>
        </w:rPr>
        <w:t>- перечень возможных источников ЧС техногенного и природного характера;</w:t>
      </w:r>
    </w:p>
    <w:p>
      <w:pPr>
        <w:jc w:val="both"/>
      </w:pPr>
      <w:r>
        <w:rPr>
          <w:b w:val="0"/>
          <w:i w:val="0"/>
        </w:rPr>
        <w:t>- требования по созданию систем оповещения, включая локальные;</w:t>
      </w:r>
    </w:p>
    <w:p>
      <w:pPr>
        <w:jc w:val="both"/>
      </w:pPr>
      <w:r>
        <w:rPr>
          <w:b w:val="0"/>
          <w:i w:val="0"/>
        </w:rPr>
        <w:t>- требования по мерам предотвращения постороннего вмешательства в деятельность потенциально опасного объекта;</w:t>
      </w:r>
    </w:p>
    <w:p>
      <w:pPr>
        <w:jc w:val="both"/>
      </w:pPr>
      <w:r>
        <w:rPr>
          <w:b w:val="0"/>
          <w:i w:val="0"/>
        </w:rPr>
        <w:t>- иные специальные требования безопасности.</w:t>
      </w:r>
    </w:p>
    <w:p>
      <w:pPr>
        <w:jc w:val="both"/>
      </w:pPr>
      <w:r>
        <w:rPr>
          <w:b w:val="0"/>
          <w:i w:val="0"/>
        </w:rPr>
        <w:t>Исходные данные для разработки ПМ ГОЧС выдаются территориальными органами ГОЧС по запросу заказчика. Они включают данные о потенциальных опасностях района строительства и конкретные требования к мероприятиям ГО.</w:t>
      </w:r>
    </w:p>
    <w:p>
      <w:pPr>
        <w:jc w:val="both"/>
      </w:pPr>
      <w:r>
        <w:rPr>
          <w:b w:val="0"/>
          <w:i w:val="0"/>
        </w:rPr>
        <w:t>Разработка подраздела ПМ ГОЧС обязательна при подготовке проектной документации на:</w:t>
      </w:r>
    </w:p>
    <w:p>
      <w:pPr>
        <w:jc w:val="both"/>
      </w:pPr>
      <w:r>
        <w:rPr>
          <w:b w:val="0"/>
          <w:i w:val="0"/>
        </w:rPr>
        <w:t>- объекты использования атомной энергии;</w:t>
      </w:r>
    </w:p>
    <w:p>
      <w:pPr>
        <w:jc w:val="both"/>
      </w:pPr>
      <w:r>
        <w:rPr>
          <w:b w:val="0"/>
          <w:i w:val="0"/>
        </w:rPr>
        <w:t>- опасные производственные объекты;</w:t>
      </w:r>
    </w:p>
    <w:p>
      <w:pPr>
        <w:jc w:val="both"/>
      </w:pPr>
      <w:r>
        <w:rPr>
          <w:b w:val="0"/>
          <w:i w:val="0"/>
        </w:rPr>
        <w:t>- особо опасные, технически сложные и уникальные объекты;</w:t>
      </w:r>
    </w:p>
    <w:p>
      <w:pPr>
        <w:jc w:val="both"/>
      </w:pPr>
      <w:r>
        <w:rPr>
          <w:b w:val="0"/>
          <w:i w:val="0"/>
        </w:rPr>
        <w:t>- объекты обороны и безопасности.</w:t>
      </w:r>
    </w:p>
    <w:p>
      <w:pPr>
        <w:jc w:val="both"/>
      </w:pPr>
      <w:r>
        <w:rPr>
          <w:b w:val="0"/>
          <w:i w:val="0"/>
        </w:rPr>
        <w:t>Помимо этого, раздел ПМ ГОЧС разрабатывается и для иных объектов ОКС в случаях, предусмотренных нормативно-правовыми актами Правительства РФ или субъектов РФ. На практике требование о включении мероприятий ГО в проектную документацию распространяется на значительно более широкий круг объектов, поскольку категорирование объектов по ГО охватывает предприятия оборонной промышленности, крупные производственные и инфраструктурные объекты.</w:t>
      </w:r>
    </w:p>
    <w:p>
      <w:r/>
    </w:p>
    <w:p>
      <w:pPr>
        <w:jc w:val="both"/>
      </w:pPr>
      <w:r>
        <w:rPr>
          <w:b/>
          <w:i w:val="0"/>
        </w:rPr>
        <w:t>Критерии оценки технического состояния защитных сооружений ГО</w:t>
      </w:r>
    </w:p>
    <w:p>
      <w:pPr>
        <w:jc w:val="both"/>
      </w:pPr>
      <w:r>
        <w:rPr>
          <w:b w:val="0"/>
          <w:i w:val="0"/>
        </w:rPr>
        <w:t xml:space="preserve">Оценка технического состояния существующих ЗСГО – наиболее разработанная с нормативной точки зрения форма оценки соответствия ОКС  требованиям ГО. Она прямо предусмотрена как в </w:t>
      </w:r>
      <w:hyperlink r:id="rId13">
        <w:r>
          <w:rPr>
            <w:color w:val="0563C1"/>
            <w:u w:val="single"/>
          </w:rPr>
          <w:t xml:space="preserve">СП 88.13330.2022</w:t>
        </w:r>
      </w:hyperlink>
      <w:r>
        <w:rPr>
          <w:b w:val="0"/>
          <w:i w:val="0"/>
        </w:rPr>
        <w:t xml:space="preserve">, так и в специальном </w:t>
      </w:r>
      <w:hyperlink r:id="rId16">
        <w:r>
          <w:rPr>
            <w:color w:val="0563C1"/>
            <w:u w:val="single"/>
          </w:rPr>
          <w:t xml:space="preserve">ГОСТ Р 42.4.09-2021</w:t>
        </w:r>
      </w:hyperlink>
      <w:r>
        <w:rPr>
          <w:b w:val="0"/>
          <w:i w:val="0"/>
        </w:rPr>
        <w:t>, содержащем порядок оценки готовности ЗСГО.</w:t>
      </w:r>
    </w:p>
    <w:p>
      <w:pPr>
        <w:jc w:val="both"/>
      </w:pPr>
      <w:r>
        <w:rPr>
          <w:b w:val="0"/>
          <w:i w:val="0"/>
        </w:rPr>
        <w:t>Правила эксплуатации ЗСГО и требования по их содержанию установлены приказом МЧС РФ от 15.12.2002 N 583 (ред. от 26.06.2018). Требования Правил обязательны при эксплуатации ЗСГО в режиме повседневной деятельности, в военное время, при угрозе и возникновении ЧС природного и техногенного характера.</w:t>
      </w:r>
    </w:p>
    <w:p>
      <w:pPr>
        <w:jc w:val="both"/>
      </w:pPr>
      <w:r>
        <w:rPr>
          <w:b w:val="0"/>
          <w:i w:val="0"/>
        </w:rPr>
        <w:t>Критериями соответствия ЗСГО установленным требованиям являются:</w:t>
      </w:r>
    </w:p>
    <w:p>
      <w:pPr>
        <w:jc w:val="both"/>
      </w:pPr>
      <w:r>
        <w:rPr>
          <w:b w:val="0"/>
          <w:i w:val="0"/>
        </w:rPr>
        <w:t>1) конструктивные характеристики:</w:t>
      </w:r>
    </w:p>
    <w:p>
      <w:pPr>
        <w:jc w:val="both"/>
      </w:pPr>
      <w:r>
        <w:rPr>
          <w:b w:val="0"/>
          <w:i w:val="0"/>
        </w:rPr>
        <w:t>- прочность несущих конструкций, способность выдерживать расчетные динамические нагрузки (давление воздушной ударной волны);</w:t>
      </w:r>
    </w:p>
    <w:p>
      <w:pPr>
        <w:jc w:val="both"/>
      </w:pPr>
      <w:r>
        <w:rPr>
          <w:b w:val="0"/>
          <w:i w:val="0"/>
        </w:rPr>
        <w:t>- герметичность ограждающих конструкций;</w:t>
      </w:r>
    </w:p>
    <w:p>
      <w:pPr>
        <w:jc w:val="both"/>
      </w:pPr>
      <w:r>
        <w:rPr>
          <w:b w:val="0"/>
          <w:i w:val="0"/>
        </w:rPr>
        <w:t>- соответствие кратности ослабления гамма-излучения (для ПРУ);</w:t>
      </w:r>
    </w:p>
    <w:p>
      <w:pPr>
        <w:jc w:val="both"/>
      </w:pPr>
      <w:r>
        <w:rPr>
          <w:b w:val="0"/>
          <w:i w:val="0"/>
        </w:rPr>
        <w:t>- расположение входов, аварийных выходов, технических проемов.</w:t>
      </w:r>
    </w:p>
    <w:p>
      <w:pPr>
        <w:jc w:val="both"/>
      </w:pPr>
      <w:r>
        <w:rPr>
          <w:b w:val="0"/>
          <w:i w:val="0"/>
        </w:rPr>
        <w:t>2) инженерные системы жизнеобеспечения:</w:t>
      </w:r>
    </w:p>
    <w:p>
      <w:pPr>
        <w:jc w:val="both"/>
      </w:pPr>
      <w:r>
        <w:rPr>
          <w:b w:val="0"/>
          <w:i w:val="0"/>
        </w:rPr>
        <w:t>- системы фильтровентиляции (проверка режимов чистой вентиляции, фильтровентиляции, изоляции с регенерацией);</w:t>
      </w:r>
    </w:p>
    <w:p>
      <w:pPr>
        <w:jc w:val="both"/>
      </w:pPr>
      <w:r>
        <w:rPr>
          <w:b w:val="0"/>
          <w:i w:val="0"/>
        </w:rPr>
        <w:t>- водоснабжение и канализация;</w:t>
      </w:r>
    </w:p>
    <w:p>
      <w:pPr>
        <w:jc w:val="both"/>
      </w:pPr>
      <w:r>
        <w:rPr>
          <w:b w:val="0"/>
          <w:i w:val="0"/>
        </w:rPr>
        <w:t>- отопление и электроснабжение (включая резервный источник питания);</w:t>
      </w:r>
    </w:p>
    <w:p>
      <w:pPr>
        <w:jc w:val="both"/>
      </w:pPr>
      <w:r>
        <w:rPr>
          <w:b w:val="0"/>
          <w:i w:val="0"/>
        </w:rPr>
        <w:t>- средства связи и управления.</w:t>
      </w:r>
    </w:p>
    <w:p>
      <w:pPr>
        <w:jc w:val="both"/>
      </w:pPr>
      <w:r>
        <w:rPr>
          <w:b w:val="0"/>
          <w:i w:val="0"/>
        </w:rPr>
        <w:t>3) готовность к приему укрываемых:</w:t>
      </w:r>
    </w:p>
    <w:p>
      <w:pPr>
        <w:jc w:val="both"/>
      </w:pPr>
      <w:r>
        <w:rPr>
          <w:b w:val="0"/>
          <w:i w:val="0"/>
        </w:rPr>
        <w:t>- возможность перевода помещения на режим защитного сооружения в срок, не превышающий 12 часов;</w:t>
      </w:r>
    </w:p>
    <w:p>
      <w:pPr>
        <w:jc w:val="both"/>
      </w:pPr>
      <w:r>
        <w:rPr>
          <w:b w:val="0"/>
          <w:i w:val="0"/>
        </w:rPr>
        <w:t>- наличие и укомплектованность имуществом ГО;</w:t>
      </w:r>
    </w:p>
    <w:p>
      <w:pPr>
        <w:jc w:val="both"/>
      </w:pPr>
      <w:r>
        <w:rPr>
          <w:b w:val="0"/>
          <w:i w:val="0"/>
        </w:rPr>
        <w:t>- вместимость (для убежищ – как правило, не менее 150 человек; для вновь строящихся ПРУ – не менее 50 человек).</w:t>
      </w:r>
    </w:p>
    <w:p>
      <w:r/>
    </w:p>
    <w:p>
      <w:pPr>
        <w:jc w:val="both"/>
      </w:pPr>
      <w:r>
        <w:rPr>
          <w:b/>
          <w:i w:val="0"/>
        </w:rPr>
        <w:t>Организация и проведение обследований</w:t>
      </w:r>
    </w:p>
    <w:p>
      <w:pPr>
        <w:jc w:val="both"/>
      </w:pPr>
      <w:r>
        <w:rPr>
          <w:b w:val="0"/>
          <w:i w:val="0"/>
        </w:rPr>
        <w:t xml:space="preserve">Требования к проведению обследований технического состояния существующих ЗСГО содержаатся в </w:t>
      </w:r>
      <w:hyperlink r:id="rId13">
        <w:r>
          <w:rPr>
            <w:color w:val="0563C1"/>
            <w:u w:val="single"/>
          </w:rPr>
          <w:t xml:space="preserve">СП 88.13330.2022</w:t>
        </w:r>
      </w:hyperlink>
      <w:r>
        <w:rPr>
          <w:b w:val="0"/>
          <w:i w:val="0"/>
        </w:rPr>
        <w:t xml:space="preserve">, а методология – в </w:t>
      </w:r>
      <w:hyperlink r:id="rId16">
        <w:r>
          <w:rPr>
            <w:color w:val="0563C1"/>
            <w:u w:val="single"/>
          </w:rPr>
          <w:t xml:space="preserve">ГОСТ Р 42.4.09-2021.</w:t>
        </w:r>
      </w:hyperlink>
      <w:r>
        <w:rPr>
          <w:b w:val="0"/>
          <w:i w:val="0"/>
        </w:rPr>
        <w:t xml:space="preserve"> Обследование проводится специализированными организациями и завершается составлением заключения о техническом состоянии и готовности к приему укрываемых. По результатам оценки ЗСГО присваивается одна из категорий состояния, на основании которой определяются мероприятия по восстановлению или поддержанию готовности сооружения.</w:t>
      </w:r>
    </w:p>
    <w:p>
      <w:pPr>
        <w:jc w:val="both"/>
      </w:pPr>
      <w:r>
        <w:rPr>
          <w:b w:val="0"/>
          <w:i w:val="0"/>
        </w:rPr>
        <w:t>Важно подчеркнуть, что оценка состояния обеспечивается не разовым мероприятием, а системой периодического контроля: в рамках повседневной деятельности ответственные за содержание ЗСГО обязаны обеспечивать «постоянную готовность помещений и оборудования систем жизнеобеспечения к переводу их в установленные сроки на режим защитных сооружений».</w:t>
      </w:r>
    </w:p>
    <w:p>
      <w:r/>
    </w:p>
    <w:p>
      <w:pPr>
        <w:jc w:val="both"/>
      </w:pPr>
      <w:r>
        <w:rPr>
          <w:b/>
          <w:i w:val="0"/>
        </w:rPr>
        <w:t>Оценка состояния объектов ГО в условиях воздействия поражающих факторов</w:t>
      </w:r>
    </w:p>
    <w:p>
      <w:pPr>
        <w:jc w:val="both"/>
      </w:pPr>
      <w:r>
        <w:rPr>
          <w:b w:val="0"/>
          <w:i w:val="0"/>
        </w:rPr>
        <w:t xml:space="preserve">Для оценки состояния объектов в условиях воздействия обычных средств поражения предназначен </w:t>
      </w:r>
      <w:hyperlink r:id="rId20">
        <w:r>
          <w:rPr>
            <w:color w:val="0563C1"/>
            <w:u w:val="single"/>
          </w:rPr>
          <w:t xml:space="preserve">ГОСТ Р 42.2.01-2025</w:t>
        </w:r>
      </w:hyperlink>
      <w:r>
        <w:rPr>
          <w:b w:val="0"/>
          <w:i w:val="0"/>
        </w:rPr>
        <w:t xml:space="preserve"> «Гражданская оборона. Оценка состояния потенциально опасных объектов, объектов обороны и безопасности в условиях воздействия поражающих факторов обычных средств поражения. Методы расчета»</w:t>
      </w:r>
      <w:r>
        <w:rPr>
          <w:vertAlign w:val="superscript"/>
        </w:rPr>
        <w:t>14</w:t>
      </w:r>
      <w:r>
        <w:rPr>
          <w:b w:val="0"/>
          <w:i w:val="0"/>
        </w:rPr>
        <w:t>. Стандарт применяется при оценке состояния как при угрозе воздействия, так и после воздействия поражающих факторов. Сфера применения охватывает потенциально опасные объекты, объекты обороны и безопасности, в том числе объекты капитального строительства, проектируемые с учетом требований ГО.</w:t>
      </w:r>
    </w:p>
    <w:p>
      <w:pPr>
        <w:jc w:val="both"/>
      </w:pPr>
      <w:r>
        <w:rPr>
          <w:b w:val="0"/>
          <w:i w:val="0"/>
        </w:rPr>
        <w:t>Методология стандарта позволяет рассчитать степени возможного разрушения составных частей объекта. Результаты расчетов отражаются на картах, схемах и планах объекта в соответствии с требованиями национальных стандартов. Это инструмент как проектной проверки (оценки достаточности конструктивной защиты), так и послеаварийной оценки.</w:t>
      </w:r>
    </w:p>
    <w:p>
      <w:r/>
    </w:p>
    <w:p>
      <w:pPr>
        <w:jc w:val="both"/>
      </w:pPr>
      <w:r>
        <w:rPr>
          <w:b/>
          <w:i w:val="0"/>
        </w:rPr>
        <w:t>Формы оценки соответствия</w:t>
      </w:r>
    </w:p>
    <w:p>
      <w:pPr>
        <w:jc w:val="both"/>
      </w:pPr>
      <w:hyperlink r:id="rId12">
        <w:r>
          <w:rPr>
            <w:color w:val="0563C1"/>
            <w:u w:val="single"/>
          </w:rPr>
          <w:t xml:space="preserve">Согласно статье 40 Федерального закона от 30.12.2009 N 384-ФЗ "Технический регламент о безопасности зданий и сооружений"</w:t>
        </w:r>
      </w:hyperlink>
      <w:r>
        <w:rPr>
          <w:b w:val="0"/>
          <w:i w:val="0"/>
        </w:rPr>
        <w:t>, оценка соответствия объектов регулирования требованиям технического регламента производится в форме:</w:t>
      </w:r>
    </w:p>
    <w:p>
      <w:pPr>
        <w:jc w:val="both"/>
      </w:pPr>
      <w:r>
        <w:rPr>
          <w:b w:val="0"/>
          <w:i w:val="0"/>
        </w:rPr>
        <w:t>1) эксплуатационного контроля;</w:t>
      </w:r>
    </w:p>
    <w:p>
      <w:pPr>
        <w:jc w:val="both"/>
      </w:pPr>
      <w:r>
        <w:rPr>
          <w:b w:val="0"/>
          <w:i w:val="0"/>
        </w:rPr>
        <w:t>2) государственного контроля (надзора), включающего государственную экспертизу проектной документации, государственный строительный надзор и заключительные проверки (при вводе объекта в эксплуатацию).</w:t>
      </w:r>
    </w:p>
    <w:p>
      <w:pPr>
        <w:jc w:val="both"/>
      </w:pPr>
      <w:r>
        <w:rPr>
          <w:b w:val="0"/>
          <w:i w:val="0"/>
        </w:rPr>
        <w:t>Государственная экспертиза проектной документации определяет соответствие раздела ПМ ГОЧС установленным требованиям. Отсутствие раздела (когда он должен быть в соответствии с установленными требованиями) или его несоответствие нормативным требованиям является основанием для отрицательного заключения экспертизы и невозможности получения разрешения на строительство.</w:t>
      </w:r>
    </w:p>
    <w:p>
      <w:pPr>
        <w:jc w:val="both"/>
      </w:pPr>
      <w:r>
        <w:rPr>
          <w:b w:val="0"/>
          <w:i w:val="0"/>
        </w:rPr>
        <w:t>Государственный строительный надзор (ст. 54 ГрК РФ) осуществляется при строительстве и реконструкции объектов ОКС, проектная документация которых прошла государственную экспертизу. В ходе надзора проверяется соответствие выполняемых работ проектной документации, включая решения в части ГО. При строительстве встроенных ЗСГО это означает проверку соответствия конструктивных решений, применяемых материалов и систем жизнеобеспечения проектным параметрам.</w:t>
      </w:r>
    </w:p>
    <w:p>
      <w:pPr>
        <w:jc w:val="both"/>
      </w:pPr>
      <w:r>
        <w:rPr>
          <w:b w:val="0"/>
          <w:i w:val="0"/>
        </w:rPr>
        <w:t>Разрешение на ввод объекта в эксплуатацию – финальный документ, удостоверяющий соответствие построенного объекта требованиям проектной документации, в том числе в части инженерно-технических мероприятий ГО. Без исполнения всех предусмотренных проектом мероприятий ГО (в том числе создания ЗСГО при наличии такого требования) объект не может быть введен в эксплуатацию.</w:t>
      </w:r>
    </w:p>
    <w:p>
      <w:r/>
    </w:p>
    <w:p>
      <w:pPr>
        <w:jc w:val="both"/>
      </w:pPr>
      <w:r>
        <w:rPr>
          <w:b/>
          <w:i w:val="0"/>
        </w:rPr>
        <w:t>Почему нет единого приказа МЧС по оценке соответствия ОКС требованиям ГО</w:t>
      </w:r>
    </w:p>
    <w:p>
      <w:pPr>
        <w:jc w:val="both"/>
      </w:pPr>
      <w:r>
        <w:rPr>
          <w:b w:val="0"/>
          <w:i w:val="0"/>
        </w:rPr>
        <w:t>Одной из основных причин отсутствия единого нормативного акта МЧС России по оценке соответствия объектов ОКС требованиям ГО является сложившееся распределение полномочий между несколькими ведомствами. МЧС России выступает нормотворческим органом в сфере ГО, однако непосредственная оценка соответствия строительных объектов реализуются через реализацию положений Градостроительного кодекса: экспертизу (Главгосэкспертиза России, региональные экспертизы), строительный надзор (Госстройнадзор, Ростехнадзор для специальных объектов) и разрешительную систему.</w:t>
      </w:r>
    </w:p>
    <w:p>
      <w:pPr>
        <w:jc w:val="both"/>
      </w:pPr>
      <w:r>
        <w:rPr>
          <w:b w:val="0"/>
          <w:i w:val="0"/>
        </w:rPr>
        <w:t>МЧС участвует в этой системе, прежде всего как:</w:t>
      </w:r>
    </w:p>
    <w:p>
      <w:pPr>
        <w:jc w:val="both"/>
      </w:pPr>
      <w:r>
        <w:rPr>
          <w:b w:val="0"/>
          <w:i w:val="0"/>
        </w:rPr>
        <w:t>- нормотворческий орган (разрабатывает и утверждает нормативно-правовые акты в области ГО, при этом стандарты, содержащие технические требования в области ГО, утверждает Росстандарт);</w:t>
      </w:r>
    </w:p>
    <w:p>
      <w:pPr>
        <w:jc w:val="both"/>
      </w:pPr>
      <w:r>
        <w:rPr>
          <w:b w:val="0"/>
          <w:i w:val="0"/>
        </w:rPr>
        <w:t>- надзорный орган за соблюдением требований ГО в ходе эксплуатации объектов (включая ЗСГО);</w:t>
      </w:r>
    </w:p>
    <w:p>
      <w:pPr>
        <w:jc w:val="both"/>
      </w:pPr>
      <w:r>
        <w:rPr>
          <w:b w:val="0"/>
          <w:i w:val="0"/>
        </w:rPr>
        <w:t>- орган, выдающий исходные данные для проектирования (категория по ГО, требования к ЗСГО).</w:t>
      </w:r>
    </w:p>
    <w:p>
      <w:pPr>
        <w:jc w:val="both"/>
      </w:pPr>
      <w:r>
        <w:rPr>
          <w:b w:val="0"/>
          <w:i w:val="0"/>
        </w:rPr>
        <w:t>Таким образом, оценка соответствия объектов ОКС требованиям ГО обеспечивается взаимодействием:</w:t>
      </w:r>
    </w:p>
    <w:p>
      <w:pPr>
        <w:jc w:val="both"/>
      </w:pPr>
      <w:r>
        <w:rPr>
          <w:b w:val="0"/>
          <w:i w:val="0"/>
        </w:rPr>
        <w:t>- территориальных органов МЧС России, которые выдают исходные данные для проектирования (категория объекта по ГО, требования к ЗСГО), согласовывают задание на проектирование в части ИТМ ГОЧС, осуществляют надзор за содержанием ЗСГО;</w:t>
      </w:r>
    </w:p>
    <w:p>
      <w:pPr>
        <w:jc w:val="both"/>
      </w:pPr>
      <w:r>
        <w:rPr>
          <w:b w:val="0"/>
          <w:i w:val="0"/>
        </w:rPr>
        <w:t>- органов государственной экспертизы, которые проверяют раздел ПМ ГОЧС в составе проектной документации;</w:t>
      </w:r>
    </w:p>
    <w:p>
      <w:pPr>
        <w:jc w:val="both"/>
      </w:pPr>
      <w:r>
        <w:rPr>
          <w:b w:val="0"/>
          <w:i w:val="0"/>
        </w:rPr>
        <w:t>- органов государственного строительного надзора, контролирующих реализацию проектных решений в ходе строительства;</w:t>
      </w:r>
    </w:p>
    <w:p>
      <w:pPr>
        <w:jc w:val="both"/>
      </w:pPr>
      <w:r>
        <w:rPr>
          <w:b w:val="0"/>
          <w:i w:val="0"/>
        </w:rPr>
        <w:t>- Ростехнадзора, осуществляющего специальный контроль объектов использования атомной энергии и опасных производственных объектов, в том числе по ГО и защите от ЧС.</w:t>
      </w:r>
    </w:p>
    <w:p>
      <w:pPr>
        <w:jc w:val="both"/>
      </w:pPr>
      <w:r>
        <w:rPr>
          <w:b w:val="0"/>
          <w:i w:val="0"/>
        </w:rPr>
        <w:t>Каждый перечисленный орган в рамках своих компетенций и в соответствии со своей специализацией решает задачи оценки соответствия объекта капитального строительства требованиям гражданской обороны.</w:t>
      </w:r>
    </w:p>
    <w:p>
      <w:r/>
    </w:p>
    <w:p>
      <w:pPr>
        <w:jc w:val="both"/>
      </w:pPr>
      <w:r>
        <w:rPr>
          <w:b/>
          <w:i w:val="0"/>
        </w:rPr>
        <w:t>Особенность формулировки «соответствие ОКС требованиям ГО»</w:t>
      </w:r>
    </w:p>
    <w:p>
      <w:pPr>
        <w:jc w:val="both"/>
      </w:pPr>
      <w:r>
        <w:rPr>
          <w:b w:val="0"/>
          <w:i w:val="0"/>
        </w:rPr>
        <w:t xml:space="preserve">В нормативно-правовых актах часто встречается формулировка «соответствие ОКС требованиям ГО» как условие принятия их в эксплуатацию и включения в реестр объектов ГО. Эта формулировка носит общий характер, требует детализации (соответствие каким конкретным требованиям) и фактически отсылает исполнителей (проектировщиков, строителей, собственников и лиц, эксплуатирующих ОКС), а также специалистов надзирающих (контролирующих) органов к системе специальных технических норм (сводов правил (СП), ГОСТов, Правил эксплуатации ЗСГО и т.д.). </w:t>
      </w:r>
    </w:p>
    <w:p>
      <w:pPr>
        <w:jc w:val="both"/>
      </w:pPr>
      <w:r>
        <w:rPr>
          <w:b w:val="0"/>
          <w:i w:val="0"/>
        </w:rPr>
        <w:t>Таким образом, в настоящее время оценка соответствия ОКС требованиям ГО – это не единая стандартизованная процедура, описывающая весь процесс оценки, а совокупность последовательных и взаимосвязанных процессов, осуществляемых различными органами и организациями: экспертиза проектной документации → строительный надзор → ввод в эксплуатацию → периодические проверки в ходе эксплуатации.</w:t>
      </w:r>
    </w:p>
    <w:p>
      <w:r/>
    </w:p>
    <w:p>
      <w:pPr>
        <w:jc w:val="both"/>
      </w:pPr>
      <w:r>
        <w:rPr>
          <w:b/>
          <w:i w:val="0"/>
        </w:rPr>
        <w:t>Требования к объектам ОКС, содержащим ЗСГО</w:t>
      </w:r>
    </w:p>
    <w:p>
      <w:r/>
    </w:p>
    <w:p>
      <w:pPr>
        <w:jc w:val="both"/>
      </w:pPr>
      <w:r>
        <w:rPr>
          <w:b/>
          <w:i w:val="0"/>
        </w:rPr>
        <w:t>Встроенные убежища</w:t>
      </w:r>
    </w:p>
    <w:p>
      <w:pPr>
        <w:jc w:val="both"/>
      </w:pPr>
      <w:r>
        <w:rPr>
          <w:b w:val="0"/>
          <w:i w:val="0"/>
        </w:rPr>
        <w:t xml:space="preserve">Встроенные убежища размещаются в подвальных, цокольных и первых этажах зданий. </w:t>
      </w:r>
      <w:hyperlink r:id="rId13">
        <w:r>
          <w:rPr>
            <w:color w:val="0563C1"/>
            <w:u w:val="single"/>
          </w:rPr>
          <w:t xml:space="preserve">СП 88.13330.2022</w:t>
        </w:r>
      </w:hyperlink>
      <w:r>
        <w:rPr>
          <w:b w:val="0"/>
          <w:i w:val="0"/>
        </w:rPr>
        <w:t xml:space="preserve"> устанавливает, что объем помещений защитных сооружений, предназначенных для эксплуатации в мирное время, не должен превышать размеры площадей, необходимых для защитных сооружений. Это требование направлено против «оптимизации» площадей ЗСГО в ущерб их защитной функции.</w:t>
      </w:r>
    </w:p>
    <w:p>
      <w:pPr>
        <w:jc w:val="both"/>
      </w:pPr>
      <w:r>
        <w:rPr>
          <w:b w:val="0"/>
          <w:i w:val="0"/>
        </w:rPr>
        <w:t>К несущим конструкциям встроенных убежищ предъявляются требования по расчету на динамические нагрузки от воздушной ударной волны. Для заглубленной части убежищ предусматривается устройство гидроизоляции. Уровень пола должен быть выше наивысшего уровня грунтовых вод.</w:t>
      </w:r>
    </w:p>
    <w:p>
      <w:r/>
    </w:p>
    <w:p>
      <w:pPr>
        <w:jc w:val="both"/>
      </w:pPr>
      <w:r>
        <w:rPr>
          <w:b/>
          <w:i w:val="0"/>
        </w:rPr>
        <w:t>Противорадиационные укрытия</w:t>
      </w:r>
    </w:p>
    <w:p>
      <w:pPr>
        <w:jc w:val="both"/>
      </w:pPr>
      <w:r>
        <w:rPr>
          <w:b w:val="0"/>
          <w:i w:val="0"/>
        </w:rPr>
        <w:t>ПРУ создаются для защиты работников организаций, расположенных за пределами зон возможных сильных разрушений, и населения городов, не отнесенных к группам по ГО. К ограждающим конструкциям зданий с ПРУ предъявляются следующие требования:</w:t>
      </w:r>
    </w:p>
    <w:p>
      <w:pPr>
        <w:jc w:val="both"/>
      </w:pPr>
      <w:r>
        <w:rPr>
          <w:b w:val="0"/>
          <w:i w:val="0"/>
        </w:rPr>
        <w:t>- наружные ограждающие конструкции должны обеспечивать необходимую кратность ослабления гамма-излучения;</w:t>
      </w:r>
    </w:p>
    <w:p>
      <w:pPr>
        <w:jc w:val="both"/>
      </w:pPr>
      <w:r>
        <w:rPr>
          <w:b w:val="0"/>
          <w:i w:val="0"/>
        </w:rPr>
        <w:t>- проемы и отверстия должны быть подготовлены для заделки при переводе помещения на режим укрытия;</w:t>
      </w:r>
    </w:p>
    <w:p>
      <w:pPr>
        <w:jc w:val="both"/>
      </w:pPr>
      <w:r>
        <w:rPr>
          <w:b w:val="0"/>
          <w:i w:val="0"/>
        </w:rPr>
        <w:t>- помещения должны быть расположены вблизи мест пребывания большинства укрываемых.</w:t>
      </w:r>
    </w:p>
    <w:p>
      <w:r/>
    </w:p>
    <w:p>
      <w:pPr>
        <w:jc w:val="both"/>
      </w:pPr>
      <w:r>
        <w:rPr>
          <w:b/>
          <w:i w:val="0"/>
        </w:rPr>
        <w:t>Инженерные системы</w:t>
      </w:r>
    </w:p>
    <w:p>
      <w:pPr>
        <w:jc w:val="both"/>
      </w:pPr>
      <w:r>
        <w:rPr>
          <w:b w:val="0"/>
          <w:i w:val="0"/>
        </w:rPr>
        <w:t>Системы жизнеобеспечения ЗСГО – один из наиболее значимых объектов проверки при оценке соответствия. В состав обязательных систем убежищ входят:</w:t>
      </w:r>
    </w:p>
    <w:p>
      <w:pPr>
        <w:jc w:val="both"/>
      </w:pPr>
      <w:r>
        <w:rPr>
          <w:b w:val="0"/>
          <w:i w:val="0"/>
        </w:rPr>
        <w:t>- система фильтровентиляции с тремя режимами работы;</w:t>
      </w:r>
    </w:p>
    <w:p>
      <w:pPr>
        <w:jc w:val="both"/>
      </w:pPr>
      <w:r>
        <w:rPr>
          <w:b w:val="0"/>
          <w:i w:val="0"/>
        </w:rPr>
        <w:t>- резервный источник электроснабжения;</w:t>
      </w:r>
    </w:p>
    <w:p>
      <w:pPr>
        <w:jc w:val="both"/>
      </w:pPr>
      <w:r>
        <w:rPr>
          <w:b w:val="0"/>
          <w:i w:val="0"/>
        </w:rPr>
        <w:t>- система водоснабжения и канализации;</w:t>
      </w:r>
    </w:p>
    <w:p>
      <w:pPr>
        <w:jc w:val="both"/>
      </w:pPr>
      <w:r>
        <w:rPr>
          <w:b w:val="0"/>
          <w:i w:val="0"/>
        </w:rPr>
        <w:t>- отопление;</w:t>
      </w:r>
    </w:p>
    <w:p>
      <w:pPr>
        <w:jc w:val="both"/>
      </w:pPr>
      <w:r>
        <w:rPr>
          <w:b w:val="0"/>
          <w:i w:val="0"/>
        </w:rPr>
        <w:t>- связь и оповещение.</w:t>
      </w:r>
    </w:p>
    <w:p>
      <w:pPr>
        <w:jc w:val="both"/>
      </w:pPr>
      <w:r>
        <w:rPr>
          <w:b w:val="0"/>
          <w:i w:val="0"/>
        </w:rPr>
        <w:t>Соответствие этих систем требованиям проверяется как при приемке в эксплуатацию, так и в ходе плановых проверок. Отказ или неукомплектованность любой из систем является основанием для снижения оценки готовности ЗСГО.</w:t>
      </w:r>
    </w:p>
    <w:p>
      <w:r/>
    </w:p>
    <w:p>
      <w:pPr>
        <w:jc w:val="both"/>
      </w:pPr>
      <w:r>
        <w:rPr>
          <w:b/>
          <w:i w:val="0"/>
        </w:rPr>
        <w:t>Инженерно-технические мероприятия ГО</w:t>
      </w:r>
    </w:p>
    <w:p>
      <w:pPr>
        <w:jc w:val="both"/>
      </w:pPr>
      <w:r>
        <w:rPr>
          <w:b w:val="0"/>
          <w:i w:val="0"/>
        </w:rPr>
        <w:t>Инженерно технические мероприятия гражданской обороны и предупреждения чрезвычайных ситуаций (ИТМ ГОЧС) понимается как совокупность реализуемых при строительстве и реконструкции проектных решений, направленных на обеспечение защиты населения и территорий, снижение материального ущерба в ЧС техногенного и природного характера, а также от опасностей, возникающих при ведении военных действий или вследствие этих действий.</w:t>
      </w:r>
    </w:p>
    <w:p>
      <w:pPr>
        <w:jc w:val="both"/>
      </w:pPr>
      <w:r>
        <w:rPr>
          <w:b w:val="0"/>
          <w:i w:val="0"/>
        </w:rPr>
        <w:t>ИТМ ГОЧС содержатся в отдельных разделах проектной документации, планов строительства и реконструкции зданий и сооружений, а также планов действий по предупреждению и ликвидации ЧС. Тем самым ИТМ ГОЧС – это документально оформленная «программа соответствия», проверка исполнения которой и составляет суть оценки соответствия объекта ОКС требованиям ГО.</w:t>
      </w:r>
    </w:p>
    <w:p>
      <w:pPr>
        <w:jc w:val="both"/>
      </w:pPr>
      <w:r>
        <w:rPr>
          <w:b w:val="0"/>
          <w:i w:val="0"/>
        </w:rPr>
        <w:t>Этапы реализации ИТМ ГОЧС:</w:t>
      </w:r>
    </w:p>
    <w:p>
      <w:pPr>
        <w:jc w:val="both"/>
      </w:pPr>
      <w:r>
        <w:rPr>
          <w:b w:val="0"/>
          <w:i w:val="0"/>
        </w:rPr>
        <w:t>- на стадии проектирования – разработка раздела ПМ ГОЧС, получение заключения государственной экспертизы;</w:t>
      </w:r>
    </w:p>
    <w:p>
      <w:pPr>
        <w:jc w:val="both"/>
      </w:pPr>
      <w:r>
        <w:rPr>
          <w:b w:val="0"/>
          <w:i w:val="0"/>
        </w:rPr>
        <w:t>- на стадии строительства – реализация проектных решений под надзором органов государственного строительного надзора;</w:t>
      </w:r>
    </w:p>
    <w:p>
      <w:pPr>
        <w:jc w:val="both"/>
      </w:pPr>
      <w:r>
        <w:rPr>
          <w:b w:val="0"/>
          <w:i w:val="0"/>
        </w:rPr>
        <w:t>- на стадии ввода в эксплуатацию – подтверждение выполнения всех требований и получение разрешения на ввод;</w:t>
      </w:r>
    </w:p>
    <w:p>
      <w:pPr>
        <w:jc w:val="both"/>
      </w:pPr>
      <w:r>
        <w:rPr>
          <w:b w:val="0"/>
          <w:i w:val="0"/>
        </w:rPr>
        <w:t>- в процессе эксплуатации – периодические проверки состояния ОКС, в том числе ЗСГО, поддержание систем в готовности к использованию по назначению.</w:t>
      </w:r>
    </w:p>
    <w:p>
      <w:r/>
    </w:p>
    <w:p>
      <w:pPr>
        <w:jc w:val="both"/>
      </w:pPr>
      <w:r>
        <w:rPr>
          <w:b/>
          <w:i w:val="0"/>
        </w:rPr>
        <w:t>Перспективы совершенствования нормативной базы в области оценки соответствия ОКС требованиям ГО</w:t>
      </w:r>
    </w:p>
    <w:p>
      <w:pPr>
        <w:jc w:val="both"/>
      </w:pPr>
      <w:r>
        <w:rPr>
          <w:b w:val="0"/>
          <w:i w:val="0"/>
        </w:rPr>
        <w:t xml:space="preserve">Система нормативных документов в сфере оценки соответствия ОКС требованиям ГО в последние годы активно обновляется. Принятие новых сводов правил и ГОСТов свидетельствует о стремлении актуализировать технические требования к ЗСГО с учетом современных реалий. Вместе с тем отсутствие единого нормативно-правового акта, устанавливающего единую процедуру оценки соответствия объектов ОКС требованиям ГО, по-прежнему является пробелом в действующем регулировании. </w:t>
      </w:r>
    </w:p>
    <w:p>
      <w:pPr>
        <w:jc w:val="both"/>
      </w:pPr>
      <w:r>
        <w:rPr>
          <w:b w:val="0"/>
          <w:i w:val="0"/>
        </w:rPr>
        <w:t>Формирование полноценной нормативной базы в данной сфере потребует как минимум:</w:t>
      </w:r>
    </w:p>
    <w:p>
      <w:pPr>
        <w:jc w:val="both"/>
      </w:pPr>
      <w:r>
        <w:rPr>
          <w:b w:val="0"/>
          <w:i w:val="0"/>
        </w:rPr>
        <w:t>- принятия соответствующего приказа МЧС России или постановления Правительства РФ, устанавливающего единый порядок проведения оценки соответствия объектов ОКС (и их частей) требованиям, предъявляемым к объектам ГО;</w:t>
      </w:r>
    </w:p>
    <w:p>
      <w:pPr>
        <w:jc w:val="both"/>
      </w:pPr>
      <w:r>
        <w:rPr>
          <w:b w:val="0"/>
          <w:i w:val="0"/>
        </w:rPr>
        <w:t>- разработки или актуализации методических рекомендаций по проведению такой оценки применительно к каждому виду объектов ГО;</w:t>
      </w:r>
    </w:p>
    <w:p>
      <w:pPr>
        <w:jc w:val="both"/>
      </w:pPr>
      <w:r>
        <w:rPr>
          <w:b w:val="0"/>
          <w:i w:val="0"/>
        </w:rPr>
        <w:t>- создания единого реестра объектов ГО с фиксацией сведений о проведенных оценках соответствия.</w:t>
      </w:r>
    </w:p>
    <w:p>
      <w:r/>
    </w:p>
    <w:p>
      <w:pPr>
        <w:jc w:val="both"/>
      </w:pPr>
      <w:r>
        <w:rPr>
          <w:b/>
          <w:i w:val="0"/>
        </w:rPr>
        <w:t>Резюме</w:t>
      </w:r>
    </w:p>
    <w:p>
      <w:pPr>
        <w:jc w:val="both"/>
      </w:pPr>
      <w:r>
        <w:rPr>
          <w:b w:val="0"/>
          <w:i w:val="0"/>
        </w:rPr>
        <w:t>Оценка соответствия объекта капитального строительства и его частей требованиям, предъявляемым к объектам гражданской обороны, в настоящее время реализуется этапно через многоуровневую систему: от государственной экспертизы проектной документации и строительного надзора до периодических обследований в ходе эксплуатации. Несмотря на отсутствие единого приказа МЧС России о порядке оценки ОКС требованиям ГО, вся необходимая нормативная база существует и сформирована достаточно полно.</w:t>
      </w:r>
    </w:p>
    <w:p>
      <w:pPr>
        <w:jc w:val="both"/>
      </w:pPr>
      <w:r>
        <w:rPr>
          <w:b w:val="0"/>
          <w:i w:val="0"/>
        </w:rPr>
        <w:t>Понимание этой системы в целом позволяет специалистам правильно выстраивать работу по включению мероприятий ГО в состав проектной документации и обеспечивать реальную готовность объектов к выполнению задач гражданской обороны.</w:t>
      </w:r>
    </w:p>
    <w:p>
      <w:pPr>
        <w:jc w:val="both"/>
      </w:pPr>
      <w:r>
        <w:rPr>
          <w:b w:val="0"/>
          <w:i w:val="0"/>
        </w:rPr>
        <w:t>Вместе с тем, целесообразна разработка единой процедуры, объединяющей все процессы оценки соответствия ОКС требованиям ГО, включающей планирование, проектирование, организацию, реализацию, контроль и информационное сопровождение. Такая процедура должна быть утверждена соответствующим приказом МЧС России или даже Постановлением Правительства РФ. В обязательном порядке должны быть разработаны и утверждены методические указания или рекомендации по проведению оценки соответствия ОКС требованиям ГО со ссылками на действующие нормативно-правовые и нормативно-технические акты в данной сфере. Нужно методически помочь специалистам ГОЧС, избавив их от поиска и сверки необходимых документов и дав четкий алгоритм действий.</w:t>
      </w:r>
    </w:p>
    <w:p>
      <w:r/>
    </w:p>
    <w:p>
      <w:pPr>
        <w:jc w:val="right"/>
      </w:pPr>
      <w:r>
        <w:rPr>
          <w:b w:val="0"/>
          <w:i w:val="0"/>
        </w:rPr>
        <w:t>Приложение к статье</w:t>
      </w:r>
    </w:p>
    <w:p>
      <w:r/>
    </w:p>
    <w:p>
      <w:pPr>
        <w:jc w:val="center"/>
      </w:pPr>
      <w:r>
        <w:rPr>
          <w:b/>
          <w:i w:val="0"/>
        </w:rPr>
        <w:t>Список стандартов и сводов правил по защитным сооружениям гражданской обороны</w:t>
      </w:r>
    </w:p>
    <w:p>
      <w:pPr>
        <w:jc w:val="center"/>
      </w:pPr>
      <w:r>
        <w:rPr>
          <w:b w:val="0"/>
          <w:i/>
        </w:rPr>
        <w:t>(в хронологическом порядке по дате принятия или изменения)</w:t>
      </w:r>
    </w:p>
    <w:p>
      <w:r/>
    </w:p>
    <w:p>
      <w:pPr>
        <w:jc w:val="both"/>
      </w:pPr>
      <w:r>
        <w:rPr>
          <w:b w:val="0"/>
          <w:i w:val="0"/>
        </w:rPr>
        <w:t>1. ГОСТ Р 42.4.21-2025. Национальный стандарт Российской Федерации. Гражданская оборона. Защитные сооружения гражданской обороны. Комплексы технических средств контроля параметров окружающей среды вне и внутри защитных сооружений. Общие технические требования (утв. и введен в действие приказом Росстандарта от 24.12.2025 N 1787-ст)</w:t>
      </w:r>
    </w:p>
    <w:p>
      <w:pPr>
        <w:jc w:val="both"/>
      </w:pPr>
      <w:r>
        <w:rPr>
          <w:b w:val="0"/>
          <w:i w:val="0"/>
        </w:rPr>
        <w:t xml:space="preserve">2. </w:t>
      </w:r>
      <w:hyperlink r:id="rId21">
        <w:r>
          <w:rPr>
            <w:color w:val="0563C1"/>
            <w:u w:val="single"/>
          </w:rPr>
          <w:t xml:space="preserve">ГОСТ 42.4.17-2025.</w:t>
        </w:r>
      </w:hyperlink>
      <w:r>
        <w:rPr>
          <w:b w:val="0"/>
          <w:i w:val="0"/>
        </w:rPr>
        <w:t xml:space="preserve"> Межгосударственный стандарт. Гражданская оборона. Инженерно-</w:t>
      </w:r>
      <w:hyperlink r:id="rId21">
        <w:r>
          <w:rPr>
            <w:color w:val="0563C1"/>
            <w:u w:val="single"/>
          </w:rPr>
          <w:t xml:space="preserve">техническое оборудование защитных сооружений гражданской обороны. Расширительные камеры. Общие технические требования. Методы испытаний (введен в действие приказом Росстандарта от 10.07.2025 N 736-ст</w:t>
        </w:r>
      </w:hyperlink>
      <w:r>
        <w:rPr>
          <w:b w:val="0"/>
          <w:i w:val="0"/>
        </w:rPr>
        <w:t>)</w:t>
      </w:r>
    </w:p>
    <w:p>
      <w:pPr>
        <w:jc w:val="both"/>
      </w:pPr>
      <w:r>
        <w:rPr>
          <w:b w:val="0"/>
          <w:i w:val="0"/>
        </w:rPr>
        <w:t xml:space="preserve">3. </w:t>
      </w:r>
      <w:hyperlink r:id="rId22">
        <w:r>
          <w:rPr>
            <w:color w:val="0563C1"/>
            <w:u w:val="single"/>
          </w:rPr>
          <w:t xml:space="preserve">ГОСТ 42.4.20-2025.</w:t>
        </w:r>
      </w:hyperlink>
      <w:r>
        <w:rPr>
          <w:b w:val="0"/>
          <w:i w:val="0"/>
        </w:rPr>
        <w:t xml:space="preserve"> Межгосударственный стандарт. Гражданская оборона. Инженерно-техническо</w:t>
      </w:r>
      <w:hyperlink r:id="rId22">
        <w:r>
          <w:rPr>
            <w:color w:val="0563C1"/>
            <w:u w:val="single"/>
          </w:rPr>
          <w:t xml:space="preserve">е оборудование защитных сооружений гражданской обороны. Противовзрывные защитные секции. Общие технические требования. Методы испытаний (введен в действие приказом Росстандарта от 18.06.2025 N 569-ст</w:t>
        </w:r>
      </w:hyperlink>
      <w:r>
        <w:rPr>
          <w:b w:val="0"/>
          <w:i w:val="0"/>
        </w:rPr>
        <w:t>)</w:t>
      </w:r>
    </w:p>
    <w:p>
      <w:pPr>
        <w:jc w:val="both"/>
      </w:pPr>
      <w:r>
        <w:rPr>
          <w:b w:val="0"/>
          <w:i w:val="0"/>
        </w:rPr>
        <w:t xml:space="preserve">4. </w:t>
      </w:r>
      <w:hyperlink r:id="rId23">
        <w:r>
          <w:rPr>
            <w:color w:val="0563C1"/>
            <w:u w:val="single"/>
          </w:rPr>
          <w:t xml:space="preserve">ГОСТ 42.4.19-2025.</w:t>
        </w:r>
      </w:hyperlink>
      <w:r>
        <w:rPr>
          <w:b w:val="0"/>
          <w:i w:val="0"/>
        </w:rPr>
        <w:t xml:space="preserve"> Межгосударственный стандарт. Гражданская оборона. Инженерно-техническое оборудование защитных соору</w:t>
      </w:r>
      <w:hyperlink r:id="rId23">
        <w:r>
          <w:rPr>
            <w:color w:val="0563C1"/>
            <w:u w:val="single"/>
          </w:rPr>
          <w:t xml:space="preserve">жений гражданской обороны. Двери, ворота и ставни защитно-герметические и герметические. Общие технические требования. Методы испытаний (введен в действие приказом Росстандарта от 18.06.2025 N 570-ст</w:t>
        </w:r>
      </w:hyperlink>
      <w:r>
        <w:rPr>
          <w:b w:val="0"/>
          <w:i w:val="0"/>
        </w:rPr>
        <w:t>)</w:t>
      </w:r>
    </w:p>
    <w:p>
      <w:pPr>
        <w:jc w:val="both"/>
      </w:pPr>
      <w:r>
        <w:rPr>
          <w:b w:val="0"/>
          <w:i w:val="0"/>
        </w:rPr>
        <w:t xml:space="preserve">5. </w:t>
      </w:r>
      <w:hyperlink r:id="rId24">
        <w:r>
          <w:rPr>
            <w:color w:val="0563C1"/>
            <w:u w:val="single"/>
          </w:rPr>
          <w:t xml:space="preserve">ГОСТ 42.4.18-2025.</w:t>
        </w:r>
      </w:hyperlink>
      <w:r>
        <w:rPr>
          <w:b w:val="0"/>
          <w:i w:val="0"/>
        </w:rPr>
        <w:t xml:space="preserve"> Межгосударственный стандарт. Гражданская оборона. Инженерно-техническое оборудование защитных сооружений гражданской обороны. Фильтры ячейковые вентиляционных систем. Общие технические требования. Методы испытаний (введен в действие приказом Росстандарта от 20.05.2025 N 454-ст)</w:t>
      </w:r>
    </w:p>
    <w:p>
      <w:pPr>
        <w:jc w:val="both"/>
      </w:pPr>
      <w:r>
        <w:rPr>
          <w:b w:val="0"/>
          <w:i w:val="0"/>
        </w:rPr>
        <w:t xml:space="preserve">6. </w:t>
      </w:r>
      <w:hyperlink r:id="rId25">
        <w:r>
          <w:rPr>
            <w:color w:val="0563C1"/>
            <w:u w:val="single"/>
          </w:rPr>
          <w:t xml:space="preserve">ГОСТ 42.4.16-2024.</w:t>
        </w:r>
      </w:hyperlink>
      <w:r>
        <w:rPr>
          <w:b w:val="0"/>
          <w:i w:val="0"/>
        </w:rPr>
        <w:t xml:space="preserve"> Межгосударственный стандарт. Гражданская оборона. Инженерно-техничес</w:t>
      </w:r>
      <w:hyperlink r:id="rId25">
        <w:r>
          <w:rPr>
            <w:color w:val="0563C1"/>
            <w:u w:val="single"/>
          </w:rPr>
          <w:t xml:space="preserve">кое оборудование защитных сооружений гражданской обороны. Предфильтры систем вентиляции. Общие технические требования. Методы испытаний (введен в действие приказом Росстандарта от 25.12.2024 N 1993-ст</w:t>
        </w:r>
      </w:hyperlink>
      <w:r>
        <w:rPr>
          <w:b w:val="0"/>
          <w:i w:val="0"/>
        </w:rPr>
        <w:t>)</w:t>
      </w:r>
    </w:p>
    <w:p>
      <w:pPr>
        <w:jc w:val="both"/>
      </w:pPr>
      <w:r>
        <w:rPr>
          <w:b w:val="0"/>
          <w:i w:val="0"/>
        </w:rPr>
        <w:t xml:space="preserve">7. </w:t>
      </w:r>
      <w:hyperlink r:id="rId26">
        <w:r>
          <w:rPr>
            <w:color w:val="0563C1"/>
            <w:u w:val="single"/>
          </w:rPr>
          <w:t xml:space="preserve">ГОСТ 42.4.15-2024.</w:t>
        </w:r>
      </w:hyperlink>
      <w:r>
        <w:rPr>
          <w:b w:val="0"/>
          <w:i w:val="0"/>
        </w:rPr>
        <w:t xml:space="preserve"> Межгосударственный стандарт. Гражданская оборона. Инженерно-техническое о</w:t>
      </w:r>
      <w:hyperlink r:id="rId26">
        <w:r>
          <w:rPr>
            <w:color w:val="0563C1"/>
            <w:u w:val="single"/>
          </w:rPr>
          <w:t xml:space="preserve">борудование защитных сооружений гражданской обороны. Регенеративные патроны и установки. Общие технические требования. Методы испытаний (введен в действие приказом Росстандарта от 25.12.2024 N 1992-ст</w:t>
        </w:r>
      </w:hyperlink>
      <w:r>
        <w:rPr>
          <w:b w:val="0"/>
          <w:i w:val="0"/>
        </w:rPr>
        <w:t>)</w:t>
      </w:r>
    </w:p>
    <w:p>
      <w:pPr>
        <w:jc w:val="both"/>
      </w:pPr>
      <w:r>
        <w:rPr>
          <w:b w:val="0"/>
          <w:i w:val="0"/>
        </w:rPr>
        <w:t xml:space="preserve">8. </w:t>
      </w:r>
      <w:hyperlink r:id="rId27">
        <w:r>
          <w:rPr>
            <w:color w:val="0563C1"/>
            <w:u w:val="single"/>
          </w:rPr>
          <w:t xml:space="preserve">ГОСТ 42.4.13-2024.</w:t>
        </w:r>
      </w:hyperlink>
      <w:r>
        <w:rPr>
          <w:b w:val="0"/>
          <w:i w:val="0"/>
        </w:rPr>
        <w:t xml:space="preserve"> Межгосударственный стандарт. Гражданская оборона. Инженерно-</w:t>
      </w:r>
      <w:hyperlink r:id="rId27">
        <w:r>
          <w:rPr>
            <w:color w:val="0563C1"/>
            <w:u w:val="single"/>
          </w:rPr>
          <w:t xml:space="preserve">техническое оборудование защитных сооружений гражданской обороны. Заглушки регулирующие. Общие технические требования. Методы испытаний (введен в действие приказом Росстандарта от 14.08.2024 N 1065-ст</w:t>
        </w:r>
      </w:hyperlink>
      <w:r>
        <w:rPr>
          <w:b w:val="0"/>
          <w:i w:val="0"/>
        </w:rPr>
        <w:t>)</w:t>
      </w:r>
    </w:p>
    <w:p>
      <w:pPr>
        <w:jc w:val="both"/>
      </w:pPr>
      <w:r>
        <w:rPr>
          <w:b w:val="0"/>
          <w:i w:val="0"/>
        </w:rPr>
        <w:t xml:space="preserve">9. </w:t>
      </w:r>
      <w:hyperlink r:id="rId28">
        <w:r>
          <w:rPr>
            <w:color w:val="0563C1"/>
            <w:u w:val="single"/>
          </w:rPr>
          <w:t xml:space="preserve">ГОСТ 42.4.12-2024.</w:t>
        </w:r>
      </w:hyperlink>
      <w:r>
        <w:rPr>
          <w:b w:val="0"/>
          <w:i w:val="0"/>
        </w:rPr>
        <w:t xml:space="preserve"> Межгосударственный стандарт. Гражданская оборона. Инженерно-техн</w:t>
      </w:r>
      <w:hyperlink r:id="rId28">
        <w:r>
          <w:rPr>
            <w:color w:val="0563C1"/>
            <w:u w:val="single"/>
          </w:rPr>
          <w:t xml:space="preserve">ическое оборудование защитных сооружений гражданской обороны. Вентиляторы электроручные. Общие технические требования. Методы испытаний (введен в действие приказом Росстандарта от 14.08.2024 N 1064-ст</w:t>
        </w:r>
      </w:hyperlink>
      <w:r>
        <w:rPr>
          <w:b w:val="0"/>
          <w:i w:val="0"/>
        </w:rPr>
        <w:t>)</w:t>
      </w:r>
    </w:p>
    <w:p>
      <w:pPr>
        <w:jc w:val="both"/>
      </w:pPr>
      <w:r>
        <w:rPr>
          <w:b w:val="0"/>
          <w:i w:val="0"/>
        </w:rPr>
        <w:t xml:space="preserve">10. </w:t>
      </w:r>
      <w:hyperlink r:id="rId29">
        <w:r>
          <w:rPr>
            <w:color w:val="0563C1"/>
            <w:u w:val="single"/>
          </w:rPr>
          <w:t xml:space="preserve">ГОСТ 42.4.11-2024.</w:t>
        </w:r>
      </w:hyperlink>
      <w:r>
        <w:rPr>
          <w:b w:val="0"/>
          <w:i w:val="0"/>
        </w:rPr>
        <w:t xml:space="preserve"> Межгосударственный стандарт. Гражданская оборона. Инженерно-</w:t>
      </w:r>
      <w:hyperlink r:id="rId29">
        <w:r>
          <w:rPr>
            <w:color w:val="0563C1"/>
            <w:u w:val="single"/>
          </w:rPr>
          <w:t xml:space="preserve">техническое оборудование защитных сооружений гражданской обороны. Клапаны герметические. Общие технические требования. Методы испытаний (введен в действие приказом Росстандарта от 14.08.2024 N 1063-ст</w:t>
        </w:r>
      </w:hyperlink>
      <w:r>
        <w:rPr>
          <w:b w:val="0"/>
          <w:i w:val="0"/>
        </w:rPr>
        <w:t>)</w:t>
      </w:r>
    </w:p>
    <w:p>
      <w:pPr>
        <w:jc w:val="both"/>
      </w:pPr>
      <w:r>
        <w:rPr>
          <w:b w:val="0"/>
          <w:i w:val="0"/>
        </w:rPr>
        <w:t xml:space="preserve">11. </w:t>
      </w:r>
      <w:hyperlink r:id="rId30">
        <w:r>
          <w:rPr>
            <w:color w:val="0563C1"/>
            <w:u w:val="single"/>
          </w:rPr>
          <w:t xml:space="preserve">ГОСТ 42.4.10-2024.</w:t>
        </w:r>
      </w:hyperlink>
      <w:r>
        <w:rPr>
          <w:b w:val="0"/>
          <w:i w:val="0"/>
        </w:rPr>
        <w:t xml:space="preserve"> Межгосударственный стандарт. Гражданская оборона. Инженерно-техниче</w:t>
      </w:r>
      <w:hyperlink r:id="rId30">
        <w:r>
          <w:rPr>
            <w:color w:val="0563C1"/>
            <w:u w:val="single"/>
          </w:rPr>
          <w:t xml:space="preserve">ское оборудование защитных сооружений гражданской обороны. Клапаны избыточного давления. Общие технические требования. Методы испытаний (введен в действие приказом Росстандарта от 14.08.2024 N 1062-ст</w:t>
        </w:r>
      </w:hyperlink>
      <w:r>
        <w:rPr>
          <w:b w:val="0"/>
          <w:i w:val="0"/>
        </w:rPr>
        <w:t>)</w:t>
      </w:r>
    </w:p>
    <w:p>
      <w:pPr>
        <w:jc w:val="both"/>
      </w:pPr>
      <w:r>
        <w:rPr>
          <w:b w:val="0"/>
          <w:i w:val="0"/>
        </w:rPr>
        <w:t xml:space="preserve">12. </w:t>
      </w:r>
      <w:hyperlink r:id="rId31">
        <w:r>
          <w:rPr>
            <w:color w:val="0563C1"/>
            <w:u w:val="single"/>
          </w:rPr>
          <w:t xml:space="preserve">ГОСТ 42.4.14-2024.</w:t>
        </w:r>
      </w:hyperlink>
      <w:r>
        <w:rPr>
          <w:b w:val="0"/>
          <w:i w:val="0"/>
        </w:rPr>
        <w:t xml:space="preserve"> Межгосударственный стандарт. Гражданская оборона. Инженерно-техническое обо</w:t>
      </w:r>
      <w:hyperlink r:id="rId31">
        <w:r>
          <w:rPr>
            <w:color w:val="0563C1"/>
            <w:u w:val="single"/>
          </w:rPr>
          <w:t xml:space="preserve">рудование защитных сооружений гражданской обороны. Вентиляторы с электрическим приводом. Общие технические требования. Методы испытаний (введен в действие приказом Росстандарта от 14.08.2024 N 1066-ст</w:t>
        </w:r>
      </w:hyperlink>
      <w:r>
        <w:rPr>
          <w:b w:val="0"/>
          <w:i w:val="0"/>
        </w:rPr>
        <w:t>)</w:t>
      </w:r>
    </w:p>
    <w:p>
      <w:pPr>
        <w:jc w:val="both"/>
      </w:pPr>
      <w:hyperlink r:id="rId32">
        <w:r>
          <w:rPr>
            <w:color w:val="0563C1"/>
            <w:u w:val="single"/>
          </w:rPr>
          <w:t xml:space="preserve">13. СП 263.1325800.2016. Свод правил. Приспособление метрополитенов под защитные сооружения гражданской обороны. Общие правила проектирования (утв. приказом Минстроя России от 16.12.2016 N 966/пр</w:t>
        </w:r>
      </w:hyperlink>
      <w:r>
        <w:rPr>
          <w:b w:val="0"/>
          <w:i w:val="0"/>
        </w:rPr>
        <w:t>) (ред. от 28.12.2023)</w:t>
      </w:r>
    </w:p>
    <w:p>
      <w:pPr>
        <w:jc w:val="both"/>
      </w:pPr>
      <w:r>
        <w:rPr>
          <w:b w:val="0"/>
          <w:i w:val="0"/>
        </w:rPr>
        <w:t>14.</w:t>
      </w:r>
      <w:hyperlink r:id="rId33">
        <w:r>
          <w:rPr>
            <w:color w:val="0563C1"/>
            <w:u w:val="single"/>
          </w:rPr>
          <w:t xml:space="preserve"> СП 93.13330.2016. Свод правил. Защитные сооружения гражданской обороны в подземных горных выработках. Актуализированная редакция СНиП 2.01.54-84 (утв. приказом Минстроя России от 16.12.2016 N 971/пр</w:t>
        </w:r>
      </w:hyperlink>
      <w:r>
        <w:rPr>
          <w:b w:val="0"/>
          <w:i w:val="0"/>
        </w:rPr>
        <w:t>) (ред. от 18.12.2023)</w:t>
      </w:r>
    </w:p>
    <w:p>
      <w:pPr>
        <w:jc w:val="both"/>
      </w:pPr>
      <w:r>
        <w:rPr>
          <w:b w:val="0"/>
          <w:i w:val="0"/>
        </w:rPr>
        <w:t xml:space="preserve">15. </w:t>
      </w:r>
      <w:hyperlink r:id="rId34">
        <w:r>
          <w:rPr>
            <w:color w:val="0563C1"/>
            <w:u w:val="single"/>
          </w:rPr>
          <w:t xml:space="preserve">ГОСТ Р 42.4.15-2023.</w:t>
        </w:r>
      </w:hyperlink>
      <w:r>
        <w:rPr>
          <w:b w:val="0"/>
          <w:i w:val="0"/>
        </w:rPr>
        <w:t xml:space="preserve"> Национальный стандарт Российской Федерации. Гражданская оборона. Инженерно-техническое оборудование з</w:t>
      </w:r>
      <w:hyperlink r:id="rId34">
        <w:r>
          <w:rPr>
            <w:color w:val="0563C1"/>
            <w:u w:val="single"/>
          </w:rPr>
          <w:t xml:space="preserve">ащитных сооружений гражданской обороны. Эксплуатация устройств очистки и регенерации воздуха систем вентиляции. Общие требования (утв. и введен в действие приказом Росстандарта от 21.09.2023 N 907-ст</w:t>
        </w:r>
      </w:hyperlink>
      <w:r>
        <w:rPr>
          <w:b w:val="0"/>
          <w:i w:val="0"/>
        </w:rPr>
        <w:t>)</w:t>
      </w:r>
    </w:p>
    <w:p>
      <w:pPr>
        <w:jc w:val="both"/>
      </w:pPr>
      <w:hyperlink r:id="rId13">
        <w:r>
          <w:rPr>
            <w:color w:val="0563C1"/>
            <w:u w:val="single"/>
          </w:rPr>
          <w:t xml:space="preserve">16. СП 88.13330.2022. Свод правил. Защитные сооружения гражданской обороны. СНиП II-11-77* (утв. Приказом Минстроя России от 21.12.2022 N 1101/пр</w:t>
        </w:r>
      </w:hyperlink>
      <w:r>
        <w:rPr>
          <w:b w:val="0"/>
          <w:i w:val="0"/>
        </w:rPr>
        <w:t>)</w:t>
      </w:r>
    </w:p>
    <w:p>
      <w:pPr>
        <w:jc w:val="both"/>
      </w:pPr>
      <w:r>
        <w:rPr>
          <w:b w:val="0"/>
          <w:i w:val="0"/>
        </w:rPr>
        <w:t xml:space="preserve">17. </w:t>
      </w:r>
      <w:hyperlink r:id="rId15">
        <w:r>
          <w:rPr>
            <w:color w:val="0563C1"/>
            <w:u w:val="single"/>
          </w:rPr>
          <w:t xml:space="preserve">ГОСТ Р 42.4.03-2022.</w:t>
        </w:r>
      </w:hyperlink>
      <w:r>
        <w:rPr>
          <w:b w:val="0"/>
          <w:i w:val="0"/>
        </w:rPr>
        <w:t xml:space="preserve"> Национальный стандарт</w:t>
      </w:r>
      <w:hyperlink r:id="rId15">
        <w:r>
          <w:rPr>
            <w:color w:val="0563C1"/>
            <w:u w:val="single"/>
          </w:rPr>
          <w:t xml:space="preserve"> Российской Федерации. Гражданская оборона. Защитные сооружения гражданской обороны. Классификация. Общие технические требования (утв. и введен в действие приказом Росстандарта от 12.05.2022 N 283-ст</w:t>
        </w:r>
      </w:hyperlink>
      <w:r>
        <w:rPr>
          <w:b w:val="0"/>
          <w:i w:val="0"/>
        </w:rPr>
        <w:t>)</w:t>
      </w:r>
    </w:p>
    <w:p>
      <w:pPr>
        <w:jc w:val="both"/>
      </w:pPr>
      <w:r>
        <w:rPr>
          <w:b w:val="0"/>
          <w:i w:val="0"/>
        </w:rPr>
        <w:t xml:space="preserve">18. </w:t>
      </w:r>
      <w:hyperlink r:id="rId16">
        <w:r>
          <w:rPr>
            <w:color w:val="0563C1"/>
            <w:u w:val="single"/>
          </w:rPr>
          <w:t xml:space="preserve">ГОСТ Р 42.4.09-2021.</w:t>
        </w:r>
      </w:hyperlink>
      <w:r>
        <w:rPr>
          <w:b w:val="0"/>
          <w:i w:val="0"/>
        </w:rPr>
        <w:t xml:space="preserve"> Нац</w:t>
      </w:r>
      <w:hyperlink r:id="rId16">
        <w:r>
          <w:rPr>
            <w:color w:val="0563C1"/>
            <w:u w:val="single"/>
          </w:rPr>
          <w:t xml:space="preserve">иональный стандарт Российской Федерации. Гражданская оборона. Защитные сооружения гражданской обороны. Порядок оценки готовности (утв. и введен в действие приказом Росстандарта от 31.08.2021 N 861-ст</w:t>
        </w:r>
      </w:hyperlink>
      <w:r>
        <w:rPr>
          <w:b w:val="0"/>
          <w:i w:val="0"/>
        </w:rPr>
        <w:t>)</w:t>
      </w:r>
    </w:p>
    <w:p>
      <w:pPr>
        <w:jc w:val="both"/>
      </w:pPr>
      <w:r>
        <w:rPr>
          <w:b w:val="0"/>
          <w:i w:val="0"/>
        </w:rPr>
        <w:t xml:space="preserve">19. </w:t>
      </w:r>
      <w:hyperlink r:id="rId35">
        <w:r>
          <w:rPr>
            <w:color w:val="0563C1"/>
            <w:u w:val="single"/>
          </w:rPr>
          <w:t xml:space="preserve">ГОСТ Р 42.4.08-2021.</w:t>
        </w:r>
      </w:hyperlink>
      <w:r>
        <w:rPr>
          <w:b w:val="0"/>
          <w:i w:val="0"/>
        </w:rPr>
        <w:t xml:space="preserve"> Национальный стандарт Российской Федерации. Гражданская оборона. Защитны</w:t>
      </w:r>
      <w:hyperlink r:id="rId35">
        <w:r>
          <w:rPr>
            <w:color w:val="0563C1"/>
            <w:u w:val="single"/>
          </w:rPr>
          <w:t xml:space="preserve">е сооружения гражданской обороны. Сооружения быстровозводимые блок-модульного типа полной заводской готовности. Общие требования (утв. и введен в действие приказом Росстандарта от 08.09.2021 N 926-ст</w:t>
        </w:r>
      </w:hyperlink>
      <w:r>
        <w:rPr>
          <w:b w:val="0"/>
          <w:i w:val="0"/>
        </w:rPr>
        <w:t>)</w:t>
      </w:r>
    </w:p>
    <w:p>
      <w:pPr>
        <w:jc w:val="both"/>
      </w:pPr>
      <w:r>
        <w:rPr>
          <w:b w:val="0"/>
          <w:i w:val="0"/>
        </w:rPr>
        <w:t xml:space="preserve">20. </w:t>
      </w:r>
      <w:hyperlink r:id="rId36">
        <w:r>
          <w:rPr>
            <w:color w:val="0563C1"/>
            <w:u w:val="single"/>
          </w:rPr>
          <w:t xml:space="preserve">ГОСТ Р 42.4.05-2020.</w:t>
        </w:r>
      </w:hyperlink>
      <w:r>
        <w:rPr>
          <w:b w:val="0"/>
          <w:i w:val="0"/>
        </w:rPr>
        <w:t xml:space="preserve"> Национальный стандарт Российской Федераци</w:t>
      </w:r>
      <w:hyperlink r:id="rId36">
        <w:r>
          <w:rPr>
            <w:color w:val="0563C1"/>
            <w:u w:val="single"/>
          </w:rPr>
          <w:t xml:space="preserve">и. Гражданская оборона. Инженерно-техническое оборудование защитных сооружений гражданской обороны. Общие технические требования (утв. и введен в действие приказом Росстандарта от 27.10.2020 N 951-ст</w:t>
        </w:r>
      </w:hyperlink>
      <w:r>
        <w:rPr>
          <w:b w:val="0"/>
          <w:i w:val="0"/>
        </w:rPr>
        <w:t xml:space="preserve">) </w:t>
      </w:r>
    </w:p>
    <w:p>
      <w:pPr>
        <w:jc w:val="both"/>
      </w:pPr>
      <w:r>
        <w:rPr>
          <w:b w:val="0"/>
          <w:i w:val="0"/>
        </w:rPr>
        <w:t xml:space="preserve">21. </w:t>
      </w:r>
      <w:hyperlink r:id="rId37">
        <w:r>
          <w:rPr>
            <w:color w:val="0563C1"/>
            <w:u w:val="single"/>
          </w:rPr>
          <w:t xml:space="preserve">ГОСТ Р 42.4.07-2020.</w:t>
        </w:r>
      </w:hyperlink>
      <w:r>
        <w:rPr>
          <w:b w:val="0"/>
          <w:i w:val="0"/>
        </w:rPr>
        <w:t xml:space="preserve"> Национальный стандарт Российской Федерации. Гражданская оборона. Инженерно-техническое оборудование защитных сооружений гражданской</w:t>
      </w:r>
      <w:hyperlink r:id="rId37">
        <w:r>
          <w:rPr>
            <w:color w:val="0563C1"/>
            <w:u w:val="single"/>
          </w:rPr>
          <w:t xml:space="preserve"> обороны. Двери, ворота и ставни защитно-герметические и герметические для убежищ. Общие технические требования. Методы контроля (утв. и введен в действие приказом Росстандарта от 18.12.2020 N 1326-ст</w:t>
        </w:r>
      </w:hyperlink>
      <w:r>
        <w:rPr>
          <w:b w:val="0"/>
          <w:i w:val="0"/>
        </w:rPr>
        <w:t>)</w:t>
      </w:r>
    </w:p>
    <w:p>
      <w:pPr>
        <w:jc w:val="both"/>
      </w:pPr>
      <w:r>
        <w:rPr>
          <w:b w:val="0"/>
          <w:i w:val="0"/>
        </w:rPr>
        <w:t xml:space="preserve">22. </w:t>
      </w:r>
      <w:hyperlink r:id="rId38">
        <w:r>
          <w:rPr>
            <w:color w:val="0563C1"/>
            <w:u w:val="single"/>
          </w:rPr>
          <w:t xml:space="preserve">ГОСТ Р 42.4.01-2014.</w:t>
        </w:r>
      </w:hyperlink>
      <w:hyperlink r:id="rId38">
        <w:r>
          <w:rPr>
            <w:color w:val="0563C1"/>
            <w:u w:val="single"/>
          </w:rPr>
          <w:t xml:space="preserve"> Национальный стандарт Российской Федерации. Гражданская оборона. Защитные сооружения гражданской обороны. Методы испытаний (утв. и введен в действие приказом Росстандарта от 16.10.2014 N 1348-ст</w:t>
        </w:r>
      </w:hyperlink>
      <w:r>
        <w:rPr>
          <w:b w:val="0"/>
          <w:i w:val="0"/>
        </w:rPr>
        <w:t>)</w:t>
      </w:r>
    </w:p>
    <w:p>
      <w:pPr>
        <w:jc w:val="both"/>
      </w:pPr>
      <w:r>
        <w:rPr>
          <w:b w:val="0"/>
          <w:i w:val="0"/>
        </w:rPr>
        <w:t xml:space="preserve">23. </w:t>
      </w:r>
      <w:hyperlink r:id="rId39">
        <w:r>
          <w:rPr>
            <w:color w:val="0563C1"/>
            <w:u w:val="single"/>
          </w:rPr>
          <w:t xml:space="preserve">ГОСТ Р 55198-2012.</w:t>
        </w:r>
      </w:hyperlink>
      <w:r>
        <w:rPr>
          <w:b w:val="0"/>
          <w:i w:val="0"/>
        </w:rPr>
        <w:t xml:space="preserve"> Национальный стандарт Российской Фе</w:t>
      </w:r>
      <w:hyperlink r:id="rId39">
        <w:r>
          <w:rPr>
            <w:color w:val="0563C1"/>
            <w:u w:val="single"/>
          </w:rPr>
          <w:t xml:space="preserve">дерации. Гражданская оборона. Конструктивные расчеты несущих элементов защитных сооружений гражданской обороны. Общие требования (утв. и введен в действие приказом Росстандарта от 26.11.2012 N 1190-ст</w:t>
        </w:r>
      </w:hyperlink>
      <w:r>
        <w:rPr>
          <w:b w:val="0"/>
          <w:i w:val="0"/>
        </w:rPr>
        <w:t>)</w:t>
      </w:r>
    </w:p>
    <w:p>
      <w:pPr>
        <w:jc w:val="both"/>
      </w:pPr>
      <w:r>
        <w:rPr>
          <w:b w:val="0"/>
          <w:i w:val="0"/>
        </w:rPr>
        <w:t xml:space="preserve">24. </w:t>
      </w:r>
      <w:hyperlink r:id="rId40">
        <w:r>
          <w:rPr>
            <w:color w:val="0563C1"/>
            <w:u w:val="single"/>
          </w:rPr>
          <w:t xml:space="preserve">ГОСТ Р 55200-2012.</w:t>
        </w:r>
      </w:hyperlink>
      <w:r>
        <w:rPr>
          <w:b w:val="0"/>
          <w:i w:val="0"/>
        </w:rPr>
        <w:t xml:space="preserve"> Национальный стандарт Российской Федерации. Гражданская оборона. Степен</w:t>
      </w:r>
      <w:hyperlink r:id="rId40">
        <w:r>
          <w:rPr>
            <w:color w:val="0563C1"/>
            <w:u w:val="single"/>
          </w:rPr>
          <w:t xml:space="preserve">ь ослабления проникающей радиации ограждающими конструкциями защитных сооружений гражданской обороны. Общие требования к расчету (утв. и введен в действие приказом Росстандарта от 26.11.2012 N 1192-ст</w:t>
        </w:r>
      </w:hyperlink>
      <w:r>
        <w:rPr>
          <w:b w:val="0"/>
          <w:i w:val="0"/>
        </w:rPr>
        <w:t>)</w:t>
      </w:r>
    </w:p>
    <w:p>
      <w:r/>
    </w:p>
    <w:p>
      <w:r/>
    </w:p>
    <w:p>
      <w:r/>
    </w:p>
    <w:p/>
    <w:p>
      <w:r>
        <w:rPr>
          <w:b/>
        </w:rPr>
        <w:t>Примечания</w:t>
      </w:r>
    </w:p>
    <w:p>
      <w:r>
        <w:t>1. Объект капитального строительства (ОКС) – термин, который означает постройку, неразрывно связанную с землей, на которой она возведена. Это может быть здание, строение, сооружение или другой объект, который является неотделимым от земельного участка. А палатки или защитные сооружения гражданской обороны быстровозводимые блок-модульного типа не являются ОКС, так как их можно свернуть, демонтировать и перенести на другое место, то есть они отделимым от земельного участка, на котором расположены.</w:t>
      </w:r>
    </w:p>
    <w:p>
      <w:r>
        <w:t>2. Возможно, такой приказ или методические рекомендации скоро и появятся, тем более что в пункте 14 Порядка создания убежищ и иных объектов гражданской обороны четко записано, что МЧС России организует проведение оценки соответствия объекта капитального строительства и его частей требованиям, предъявляемым к объектам гражданской обороны (см. новую редакцию Порядка от 02.10.2025).</w:t>
      </w:r>
    </w:p>
    <w:p>
      <w:r>
        <w:t>3. Пункт 2 Порядка создания убежищ и иных объектов гражданской обороны, утвержденного Постановлением Правительства РФ от 29.11.1999 N 1309 (ред. от 02.10.2025).</w:t>
      </w:r>
    </w:p>
    <w:p>
      <w:r>
        <w:t>4. Статья 2 Федерального закона от 12.02.1998 N 28-ФЗ "О гражданской обороне".</w:t>
      </w:r>
    </w:p>
    <w:p>
      <w:r>
        <w:t>5. Положение утверждено Постановлением Правительства РФ от 26.11.2007 N 804.</w:t>
      </w:r>
    </w:p>
    <w:p>
      <w:r>
        <w:t>6. Утверждено приказом Минстроя России от 21.12.2022 N 1101/пр.</w:t>
      </w:r>
    </w:p>
    <w:p>
      <w:r>
        <w:t>7. Утверждено приказом Минстроя России от 12.11.2014 N 705/пр (ред. от 12.04.2023).</w:t>
      </w:r>
    </w:p>
    <w:p>
      <w:r>
        <w:t>8. Утверждено приказом Росстандарта от 12.05.2022 N 283-ст.</w:t>
      </w:r>
    </w:p>
    <w:p>
      <w:r>
        <w:t>9. Утверждено приказом Росстандарта от 31.08.2021 N 861-ст.</w:t>
      </w:r>
    </w:p>
    <w:p>
      <w:r>
        <w:t>10. Утверждено МЧС России 09.10.2020 N 2-4-71-21-11.</w:t>
      </w:r>
    </w:p>
    <w:p>
      <w:r>
        <w:t>11. Утверждено МЧС России. Источник: письмо МЧС России от 19.06.2024 N 43-3750-11.</w:t>
      </w:r>
    </w:p>
    <w:p>
      <w:r>
        <w:t>12. Иное название ПМ ГОЧС – перечень инженерно-технических мероприятий ГОЧС (ИТМ ГОЧС).</w:t>
      </w:r>
    </w:p>
    <w:p>
      <w:r>
        <w:t>13. Утверждено приказом Росстандарта от 12.01.2023 N 10-ст.</w:t>
      </w:r>
    </w:p>
    <w:p>
      <w:r>
        <w:t>14. Утвержден и введен в действие приказом Росстандарта от 23.12.2025 N 1767-ст.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s4bVcp7iR-16VnqFaqxPjrghrUiOTe2/edit?usp=drivesdk&amp;ouid=107636637261335910720&amp;rtpof=true&amp;sd=true" TargetMode="External"/><Relationship Id="rId10" Type="http://schemas.openxmlformats.org/officeDocument/2006/relationships/hyperlink" Target="https://docs.google.com/document/d/1HxNJUW-siWB9YgTj127M_39jXIPawdn0/edit?usp=drivesdk&amp;ouid=107636637261335910720&amp;rtpof=true&amp;sd=true" TargetMode="External"/><Relationship Id="rId11" Type="http://schemas.openxmlformats.org/officeDocument/2006/relationships/hyperlink" Target="https://docs.google.com/document/d/17UGcBgi-giQ7Xeq8Bxgkus-eM65EJYXO/edit?usp=drivesdk&amp;ouid=107636637261335910720&amp;rtpof=true&amp;sd=true" TargetMode="External"/><Relationship Id="rId12" Type="http://schemas.openxmlformats.org/officeDocument/2006/relationships/hyperlink" Target="https://docs.google.com/document/d/1Q20utphL3jEeWzThU9_h4Vpqo0nyWv7u/edit?usp=drivesdk&amp;ouid=107636637261335910720&amp;rtpof=true&amp;sd=true" TargetMode="External"/><Relationship Id="rId13" Type="http://schemas.openxmlformats.org/officeDocument/2006/relationships/hyperlink" Target="https://docs.google.com/document/d/1noHpJEnOvhR3WVokWEpW7vc8-CtfX1Zk/edit?usp=drivesdk&amp;ouid=107636637261335910720&amp;rtpof=true&amp;sd=true" TargetMode="External"/><Relationship Id="rId14" Type="http://schemas.openxmlformats.org/officeDocument/2006/relationships/hyperlink" Target="https://docs.google.com/document/d/1k8eYCVGTPSS1vgUVcENNJHpTSvzLcohj/edit?usp=drivesdk&amp;ouid=107636637261335910720&amp;rtpof=true&amp;sd=true" TargetMode="External"/><Relationship Id="rId15" Type="http://schemas.openxmlformats.org/officeDocument/2006/relationships/hyperlink" Target="https://docs.google.com/document/d/1EpKa9sRhOmGccVPUodwVEVmnOUZFjaQY/edit?usp=drivesdk&amp;ouid=107636637261335910720&amp;rtpof=true&amp;sd=true" TargetMode="External"/><Relationship Id="rId16" Type="http://schemas.openxmlformats.org/officeDocument/2006/relationships/hyperlink" Target="https://docs.google.com/document/d/1fcdgSiL9XFsf6tNJY98ZKIDs4Tn9ajir/edit?usp=drivesdk&amp;ouid=107636637261335910720&amp;rtpof=true&amp;sd=true" TargetMode="External"/><Relationship Id="rId17" Type="http://schemas.openxmlformats.org/officeDocument/2006/relationships/hyperlink" Target="https://docs.google.com/document/d/13BnnaQ1eSRwLin6BKwlB5MqpT8ON0Dlc/edit?usp=drivesdk&amp;ouid=107636637261335910720&amp;rtpof=true&amp;sd=true" TargetMode="External"/><Relationship Id="rId18" Type="http://schemas.openxmlformats.org/officeDocument/2006/relationships/hyperlink" Target="https://docs.google.com/document/d/1G8n1x9X-NJn2-sXHBZLRCA1zU8ViRqxT/edit?usp=drivesdk&amp;ouid=107636637261335910720&amp;rtpof=true&amp;sd=true" TargetMode="External"/><Relationship Id="rId19" Type="http://schemas.openxmlformats.org/officeDocument/2006/relationships/hyperlink" Target="https://docs.google.com/document/d/1anK3nxLLI67Ut1NjxZqkm1uyFOihcqiU/edit?usp=drivesdk&amp;ouid=107636637261335910720&amp;rtpof=true&amp;sd=true" TargetMode="External"/><Relationship Id="rId20" Type="http://schemas.openxmlformats.org/officeDocument/2006/relationships/hyperlink" Target="https://docs.google.com/document/d/1VyIZ21d7v43ZQdX7iOZYCzp1-_N1HLK5/edit?usp=drivesdk&amp;ouid=107636637261335910720&amp;rtpof=true&amp;sd=true" TargetMode="External"/><Relationship Id="rId21" Type="http://schemas.openxmlformats.org/officeDocument/2006/relationships/hyperlink" Target="https://docs.google.com/document/d/1jt-bXdKlYe06hchCTij6UPzYVeFniFad/edit?usp=drivesdk&amp;ouid=107636637261335910720&amp;rtpof=true&amp;sd=true" TargetMode="External"/><Relationship Id="rId22" Type="http://schemas.openxmlformats.org/officeDocument/2006/relationships/hyperlink" Target="https://docs.google.com/document/d/1SMXKno9eHaS4NSLDfh70AQkASjzbDMik/edit?usp=drivesdk&amp;ouid=107636637261335910720&amp;rtpof=true&amp;sd=true" TargetMode="External"/><Relationship Id="rId23" Type="http://schemas.openxmlformats.org/officeDocument/2006/relationships/hyperlink" Target="https://gochs-expert.ru/base/doc_86" TargetMode="External"/><Relationship Id="rId24" Type="http://schemas.openxmlformats.org/officeDocument/2006/relationships/hyperlink" Target="https://docs.google.com/document/d/1L-CUcfqa9nw0y63BDVDnx8LUItoJiXjz/edit?usp=drivesdk&amp;ouid=107636637261335910720&amp;rtpof=true&amp;sd=true" TargetMode="External"/><Relationship Id="rId25" Type="http://schemas.openxmlformats.org/officeDocument/2006/relationships/hyperlink" Target="https://docs.google.com/document/d/1gGfsOtC6mDfxEM5Y0vMCWqm1BN58tHL5/edit?usp=drivesdk&amp;ouid=107636637261335910720&amp;rtpof=true&amp;sd=true" TargetMode="External"/><Relationship Id="rId26" Type="http://schemas.openxmlformats.org/officeDocument/2006/relationships/hyperlink" Target="https://docs.google.com/document/d/1-qsPraDV1zw1VfLqRUWxLDU6unPPkB4I/edit?usp=drivesdk&amp;ouid=107636637261335910720&amp;rtpof=true&amp;sd=true" TargetMode="External"/><Relationship Id="rId27" Type="http://schemas.openxmlformats.org/officeDocument/2006/relationships/hyperlink" Target="https://docs.google.com/document/d/1rceUsnyYw30CGq1pH8kO990mR-qqv_7K/edit?usp=drivesdk&amp;ouid=107636637261335910720&amp;rtpof=true&amp;sd=true" TargetMode="External"/><Relationship Id="rId28" Type="http://schemas.openxmlformats.org/officeDocument/2006/relationships/hyperlink" Target="https://docs.google.com/document/d/1TjhLxQqzFXRmX74li52k4GJ0VL7mKuRH/edit?usp=drivesdk&amp;ouid=107636637261335910720&amp;rtpof=true&amp;sd=true" TargetMode="External"/><Relationship Id="rId29" Type="http://schemas.openxmlformats.org/officeDocument/2006/relationships/hyperlink" Target="https://docs.google.com/document/d/1k473ObwP-HXP3mi7znwkRiczgIVWFyt-/edit?usp=drivesdk&amp;ouid=107636637261335910720&amp;rtpof=true&amp;sd=true" TargetMode="External"/><Relationship Id="rId30" Type="http://schemas.openxmlformats.org/officeDocument/2006/relationships/hyperlink" Target="https://docs.google.com/document/d/1-PnNT1aXF8FJmf8MGLbEjItfUDMmUz6V/edit?usp=drivesdk&amp;ouid=107636637261335910720&amp;rtpof=true&amp;sd=true" TargetMode="External"/><Relationship Id="rId31" Type="http://schemas.openxmlformats.org/officeDocument/2006/relationships/hyperlink" Target="https://docs.google.com/document/d/1vxCpzlF6esF4Jzvkiq9Y1az8GCWOi0Ac/edit?usp=drivesdk&amp;ouid=107636637261335910720&amp;rtpof=true&amp;sd=true" TargetMode="External"/><Relationship Id="rId32" Type="http://schemas.openxmlformats.org/officeDocument/2006/relationships/hyperlink" Target="https://docs.google.com/document/d/1TDUvbhr5d3Om_Jo58XYa2Y1iPcw1Als5/edit?usp=drivesdk&amp;ouid=107636637261335910720&amp;rtpof=true&amp;sd=true" TargetMode="External"/><Relationship Id="rId33" Type="http://schemas.openxmlformats.org/officeDocument/2006/relationships/hyperlink" Target="https://docs.google.com/document/d/1L0nMBA0_ghg9JPPGHQOt2BC75s-XVlut/edit?usp=drivesdk&amp;ouid=107636637261335910720&amp;rtpof=true&amp;sd=true" TargetMode="External"/><Relationship Id="rId34" Type="http://schemas.openxmlformats.org/officeDocument/2006/relationships/hyperlink" Target="https://docs.google.com/document/d/1cCpepGtOfKXogFOToq5OodBCbJaQaS_M/edit?usp=drivesdk&amp;ouid=107636637261335910720&amp;rtpof=true&amp;sd=true" TargetMode="External"/><Relationship Id="rId35" Type="http://schemas.openxmlformats.org/officeDocument/2006/relationships/hyperlink" Target="https://docs.google.com/document/d/1JgxdB7-IgUM3ijSEIcqnwqIlS0tX38eB/edit?usp=drivesdk&amp;ouid=107636637261335910720&amp;rtpof=true&amp;sd=true" TargetMode="External"/><Relationship Id="rId36" Type="http://schemas.openxmlformats.org/officeDocument/2006/relationships/hyperlink" Target="https://docs.google.com/document/d/14xoov0WNU9e-cLxtslqM1wYptVkr2DcC/edit?usp=drivesdk&amp;ouid=107636637261335910720&amp;rtpof=true&amp;sd=true" TargetMode="External"/><Relationship Id="rId37" Type="http://schemas.openxmlformats.org/officeDocument/2006/relationships/hyperlink" Target="https://docs.google.com/document/d/1NuGUelBpyvmb2gCWJvnBdHyCsP0EINFt/edit?usp=drivesdk&amp;ouid=107636637261335910720&amp;rtpof=true&amp;sd=true" TargetMode="External"/><Relationship Id="rId38" Type="http://schemas.openxmlformats.org/officeDocument/2006/relationships/hyperlink" Target="https://docs.google.com/document/d/1oWzyVr6oNMpB_X1WDOFpr4mLl3P7YywE/edit?usp=drivesdk&amp;ouid=107636637261335910720&amp;rtpof=true&amp;sd=true" TargetMode="External"/><Relationship Id="rId39" Type="http://schemas.openxmlformats.org/officeDocument/2006/relationships/hyperlink" Target="https://docs.google.com/document/d/1YJZA51Bw9cdv6Axn9xiJ_t2qVIK0IFzE/edit?usp=drivesdk&amp;ouid=107636637261335910720&amp;rtpof=true&amp;sd=true" TargetMode="External"/><Relationship Id="rId40" Type="http://schemas.openxmlformats.org/officeDocument/2006/relationships/hyperlink" Target="https://docs.google.com/document/d/1ozEgQ6vMVouAdLxf5f_t1JhHOrkiuuH2/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