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СНЯТИЕ С УЧЕТА ЗАЩИТНОГО СООРУЖЕНИЯ ГРАЖДАНСКОЙ ОБОРОНЫ ПОТРЕБОВАЛО СУДЕБНОГО РЕШЕНИЯ</w:t>
      </w:r>
    </w:p>
    <w:p>
      <w:r>
        <w:rPr>
          <w:b/>
        </w:rPr>
        <w:t>Рубрика: ЗАЩИТНЫЕ СООРУЖЕНИЯ ГРАЖДАНСКОЙ ОБОРОНЫ</w:t>
        <w:br/>
      </w:r>
      <w:r>
        <w:t>Автор: Сапрыгин Е.А. Юрист, консультант редакции журнала</w:t>
        <w:br/>
      </w:r>
    </w:p>
    <w:p/>
    <w:p>
      <w:r/>
    </w:p>
    <w:p>
      <w:r/>
    </w:p>
    <w:p>
      <w:r>
        <w:rPr>
          <w:b/>
          <w:i w:val="0"/>
        </w:rPr>
        <w:t>В статье рассказано о попытке снятия с учета защитного сооружения гражданской обороны в Москве, которая дошла до судебного разбирательства и выявила целый комплекс юридических и организационных проблем. Дело о спорном убежище показало, как столкновение интересов собственников ЗСГО и позиции Росимущества превратило подвал старого завода в поле судебного сражения.</w:t>
      </w:r>
    </w:p>
    <w:p>
      <w:r/>
    </w:p>
    <w:p>
      <w:pPr>
        <w:jc w:val="both"/>
      </w:pPr>
      <w:r>
        <w:rPr>
          <w:b/>
          <w:i w:val="0"/>
        </w:rPr>
        <w:t>Как защитное сооружение превратилось в юридический кейс</w:t>
      </w:r>
    </w:p>
    <w:p>
      <w:pPr>
        <w:jc w:val="both"/>
      </w:pPr>
      <w:r>
        <w:rPr>
          <w:b w:val="0"/>
          <w:i w:val="0"/>
        </w:rPr>
        <w:t>На бумаге защитное сооружение гражданской обороны (ЗСГО) – это про безопасность людей и технические параметры ЗСГО. На практике все чаще это еще и про конфликт интересов между частным собственником, Росимуществом, городом (дело происходит в Москве) и органами ГОЧС. Подвал завода 1980-х годов вдруг оказывается в центре спора, где решается, кто вправе инициировать снятие ЗСГО с учета, кто обязан поддерживать техническое состояние сооружения, а кто будет отвечать за его фактическое аварийное состояние.</w:t>
      </w:r>
    </w:p>
    <w:p>
      <w:pPr>
        <w:jc w:val="both"/>
      </w:pPr>
      <w:r>
        <w:rPr>
          <w:b w:val="0"/>
          <w:i w:val="0"/>
        </w:rPr>
        <w:t>История АО «Янтарь», пытавшегося снять с учета убежище инв. N 012706-77 в Москве, очень показательная. С одной стороны – старое здание, изношенные конструкции и отключенные системы жизнеобеспечения. С другой – позиция Территориального управления Росимущества в городе Москве о том, что объекты ГО «по природе» относятся к федеральной собственности и в частную собственность попадать не должны. Между ними – МЧС, мэрия города и арбитражные суды, которым пришлось разбираться не только в том, чье убежище, но и кто может заблокировать его снятие с учета.</w:t>
      </w:r>
    </w:p>
    <w:p>
      <w:pPr>
        <w:jc w:val="both"/>
      </w:pPr>
      <w:r>
        <w:rPr>
          <w:b w:val="0"/>
          <w:i w:val="0"/>
        </w:rPr>
        <w:t>Для специалистов ГОЧС этот кейс важен не только как любопытное судебное решение. Он подсвечивает слабые места в нормативном регулировании и практиках взаимодействия органов власти с владельцами зданий, где размещены ЗСГО. А еще – показывает, как грамотно выстроенная правовая позиция и работа с доказательствами позволяет защитить интересы собственника, обеспечивая при этом решение задач гражданской обороны.</w:t>
      </w:r>
    </w:p>
    <w:p>
      <w:r/>
    </w:p>
    <w:p>
      <w:pPr>
        <w:jc w:val="both"/>
      </w:pPr>
      <w:r>
        <w:rPr>
          <w:b/>
          <w:i w:val="0"/>
        </w:rPr>
        <w:t>Нормативно-правовая база функционирования ЗСГО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Основной законодательный акт – Федеральный закон от 12.02.1998 N 28-ФЗ "О гражданской обороне"</w:t>
        </w:r>
      </w:hyperlink>
      <w:r>
        <w:rPr>
          <w:b w:val="0"/>
          <w:i w:val="0"/>
        </w:rPr>
        <w:t xml:space="preserve">. Он закрепляет полномочия Российской Федерации по определению порядка создания убежищ и иных объектов ГО и их готовности, прямо указывая, что соответствующие правила разрабатываются и утверждаются на федеральном уровне. 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Во исполнение этого требования принято Постановление Правительства РФ от 29.11.1999 N 1309 "О Порядке создания убежищ и иных объектов гражданской обороны"</w:t>
        </w:r>
      </w:hyperlink>
      <w:r>
        <w:rPr>
          <w:b w:val="0"/>
          <w:i w:val="0"/>
        </w:rPr>
        <w:t>. Документ определяет, какие сооружения относятся к объектам ГО, как они создаются в мирное время, период мобилизации и военное время, и задает основу для их классификации и планирования строительства.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Следующий уровень – ведомственное регулирование эксплуатации и учета. Ключевую роль здесь играет приказ МЧС России от 15.12.2002 N 583 "Об утверждении и введении в действие Правил эксплуатации защитных сооружений гражданской обороны"</w:t>
        </w:r>
      </w:hyperlink>
      <w:r>
        <w:rPr>
          <w:b w:val="0"/>
          <w:i w:val="0"/>
        </w:rPr>
        <w:t>. Документ определяется: порядок учета ЗСГО (журналы, паспорта), обязанности балансодержателей и органов власти, а также механизм снятия сооружений с учета.</w:t>
      </w:r>
    </w:p>
    <w:p>
      <w:pPr>
        <w:jc w:val="both"/>
      </w:pPr>
      <w:r>
        <w:rPr>
          <w:b w:val="0"/>
          <w:i w:val="0"/>
        </w:rPr>
        <w:t>Технические требования к самим защи</w:t>
      </w:r>
      <w:hyperlink r:id="rId12">
        <w:r>
          <w:rPr>
            <w:color w:val="0563C1"/>
            <w:u w:val="single"/>
          </w:rPr>
          <w:t xml:space="preserve">тным сооружениям и к процедурам обследования устанавливают СП 88.13330.2022. Свод правил. Защитные сооружения гражданской обороны. СНиП II-11-77* (утв. приказом Минстроя России от 21.12.2022 N 1101/пр</w:t>
        </w:r>
      </w:hyperlink>
      <w:r>
        <w:rPr>
          <w:b w:val="0"/>
          <w:i w:val="0"/>
        </w:rPr>
        <w:t xml:space="preserve">) и </w:t>
      </w:r>
      <w:hyperlink r:id="rId13">
        <w:r>
          <w:rPr>
            <w:color w:val="0563C1"/>
            <w:u w:val="single"/>
          </w:rPr>
          <w:t xml:space="preserve">СП 165.1325800.2014.</w:t>
        </w:r>
      </w:hyperlink>
      <w:hyperlink r:id="rId14">
        <w:r>
          <w:rPr>
            <w:color w:val="0563C1"/>
            <w:u w:val="single"/>
          </w:rPr>
          <w:t xml:space="preserve"> Свод правил. Инженерно-технические мероприятия по гражданской обороне. Актуализированная редакция СНиП 2.01.51-90 (утв. и введен в действие приказом Минстроя России от 12.11.2014 N 705/пр</w:t>
        </w:r>
      </w:hyperlink>
      <w:r>
        <w:rPr>
          <w:b w:val="0"/>
          <w:i w:val="0"/>
        </w:rPr>
        <w:t xml:space="preserve">) (ред. от 12.04.2023) (глава 7), и соответствующие ГОСТы по содержанию ЗСГО. Свод правил </w:t>
      </w:r>
      <w:hyperlink r:id="rId12">
        <w:r>
          <w:rPr>
            <w:color w:val="0563C1"/>
            <w:u w:val="single"/>
          </w:rPr>
          <w:t xml:space="preserve">СП 88.13330.2022</w:t>
        </w:r>
      </w:hyperlink>
      <w:r>
        <w:rPr>
          <w:b w:val="0"/>
          <w:i w:val="0"/>
        </w:rPr>
        <w:t xml:space="preserve"> не просто описывает критерии прочности и устойчивости, но и задает подход к обследованию существующих ЗСГО и оценке их фактического состояния.</w:t>
      </w:r>
    </w:p>
    <w:p>
      <w:pPr>
        <w:jc w:val="both"/>
      </w:pPr>
      <w:r>
        <w:rPr>
          <w:b w:val="0"/>
          <w:i w:val="0"/>
        </w:rPr>
        <w:t>Наконец, для рассматриваемого дела критичны акты, определяющие режим государственной собственности и ограничения приватизации:</w:t>
      </w:r>
    </w:p>
    <w:p>
      <w:pPr>
        <w:jc w:val="both"/>
      </w:pPr>
      <w:r>
        <w:rPr>
          <w:b w:val="0"/>
          <w:i w:val="0"/>
        </w:rPr>
        <w:t>- Постановление Верховного Совета РФ от 27.12.1991 N 3020-1 «О разграничении государственной собственности…», которое устанавливает, что объекты ГО, указанные в соответствующих приложениях, относятся к федеральной собственности независимо от того, на чьем балансе они числятся;</w:t>
      </w:r>
    </w:p>
    <w:p>
      <w:pPr>
        <w:jc w:val="both"/>
      </w:pPr>
      <w:r>
        <w:rPr>
          <w:b w:val="0"/>
          <w:i w:val="0"/>
        </w:rPr>
        <w:t>- Указ Президента РФ от 24.12.1993 N 2284 «О Государственной программе приватизации государственных и муниципальных предприятий в Российской Федерации» и связанная с ним Государственная программа, устанавливающие категории имущества, не подлежащего приватизации;</w:t>
      </w:r>
    </w:p>
    <w:p>
      <w:pPr>
        <w:jc w:val="both"/>
      </w:pPr>
      <w:r>
        <w:rPr>
          <w:b w:val="0"/>
          <w:i w:val="0"/>
        </w:rPr>
        <w:t xml:space="preserve">- Федеральный закон от 21.12.2001 N 178-ФЗ "О приватизации государственного и муниципального имущества", который устанавливает общие принципы приватизации и прямо говорит о том, что имущество, не подлежащее приватизации, может находиться только в государственной или муниципальной собственности. </w:t>
      </w:r>
    </w:p>
    <w:p>
      <w:pPr>
        <w:jc w:val="both"/>
      </w:pPr>
      <w:r>
        <w:rPr>
          <w:b w:val="0"/>
          <w:i w:val="0"/>
        </w:rPr>
        <w:t>Все это накладывается на общие положения Гражданского кодекса РФ (часть первая) и Арбитражного процессуального кодекса РФ, а также разъяснения Пленума Верховного Суда РФ от 23.06.2015 N 25 «О применении судами некоторых положений раздела I части первой Гражданского кодекса Российской Федерации».</w:t>
      </w:r>
    </w:p>
    <w:p>
      <w:r/>
    </w:p>
    <w:p>
      <w:pPr>
        <w:jc w:val="both"/>
      </w:pPr>
      <w:r>
        <w:rPr>
          <w:b/>
          <w:i w:val="0"/>
        </w:rPr>
        <w:t>Правовой статус защитных сооружений ГО</w:t>
      </w:r>
    </w:p>
    <w:p>
      <w:pPr>
        <w:jc w:val="both"/>
      </w:pPr>
      <w:r>
        <w:rPr>
          <w:b w:val="0"/>
          <w:i w:val="0"/>
        </w:rPr>
        <w:t xml:space="preserve">Практика показывает, что как только речь заходит о подвале или встроенном убежище на территории приватизированного предприятия, сразу всплывает аргумент, что сам по себе объект ГО не мог стать частной собственностью. Ссылаются на Постановление ВС РФ N 3020-1 и ограничения, закрепленные в государственной программе приватизации. </w:t>
      </w:r>
    </w:p>
    <w:p>
      <w:pPr>
        <w:jc w:val="both"/>
      </w:pPr>
      <w:r>
        <w:rPr>
          <w:b w:val="0"/>
          <w:i w:val="0"/>
        </w:rPr>
        <w:t>Аргументация проста:</w:t>
      </w:r>
    </w:p>
    <w:p>
      <w:pPr>
        <w:jc w:val="both"/>
      </w:pPr>
      <w:r>
        <w:rPr>
          <w:b w:val="0"/>
          <w:i w:val="0"/>
        </w:rPr>
        <w:t>1) объекты ГО отнесены к категории имущества, закрепляемого за Российской Федерацией;</w:t>
      </w:r>
    </w:p>
    <w:p>
      <w:pPr>
        <w:jc w:val="both"/>
      </w:pPr>
      <w:r>
        <w:rPr>
          <w:b w:val="0"/>
          <w:i w:val="0"/>
        </w:rPr>
        <w:t>2) программа приватизации и последующее законодательство о приватизации прямо указывали, что такие объекты не подлежат отчуждению;</w:t>
      </w:r>
    </w:p>
    <w:p>
      <w:pPr>
        <w:jc w:val="both"/>
      </w:pPr>
      <w:r>
        <w:rPr>
          <w:b w:val="0"/>
          <w:i w:val="0"/>
        </w:rPr>
        <w:t xml:space="preserve">3) следовательно, любые сделки, по которым защитное сооружение оказалось у частной организации, ничтожны по правилам статьи 168 ГК РФ как нарушающие требования закона и посягающие на публичные интересы. </w:t>
      </w:r>
    </w:p>
    <w:p>
      <w:pPr>
        <w:jc w:val="both"/>
      </w:pPr>
      <w:r>
        <w:rPr>
          <w:b w:val="0"/>
          <w:i w:val="0"/>
        </w:rPr>
        <w:t>На бумаге эта логика выглядит стройной. На практике она натыкается на реестр прав и на устоявшуюся судебную практику. В деле АО «Янтарь» арбитражные суды уже ранее установили, что имущественный комплекс завода, включая подвал, был выкуплен по государственному акту купли-продажи 1991 года, а впоследствии право собственности подтверждено свидетельствами и выписками, внесенными в реестр собственности Москвы и затем в ЕГРН. При этом Росимущество не представило ни одного документа, подтверждающего регистрацию федеральной собственности на спорный ЗСГО.</w:t>
      </w:r>
    </w:p>
    <w:p>
      <w:pPr>
        <w:jc w:val="both"/>
      </w:pPr>
      <w:r>
        <w:rPr>
          <w:b w:val="0"/>
          <w:i w:val="0"/>
        </w:rPr>
        <w:t>Получается довольно парадоксальная картина. С одной стороны, есть общий нормативный запрет приватизировать объекты ГО. С другой – есть конкретный объект недвижимости, в котором защитное сооружение размещено как подвальное помещение, и непрерывная цепочка приватизационных и регистрационных действий, признанных судами законными. Суд апелляционной инстанции по делу АО «Янтарь» фактически исходит из приоритета конкретно установленных прав и ранее данных судебных оценок над общими ссылками на «неприватизируемость» как абстрактную категорию.</w:t>
      </w:r>
    </w:p>
    <w:p>
      <w:pPr>
        <w:jc w:val="both"/>
      </w:pPr>
      <w:r>
        <w:rPr>
          <w:b w:val="0"/>
          <w:i w:val="0"/>
        </w:rPr>
        <w:t>Для практиков ГОЧС это важный сигнал. Нельзя исходить только из тезиса «объекты ГО всегда государственные». Нужно смотреть, как именно объект был создан, кем финансировался, как оформлялись права в 1990-е годы, и какие судебные решения уже существуют по данному адресу и помещению.</w:t>
      </w:r>
    </w:p>
    <w:p>
      <w:r/>
    </w:p>
    <w:p>
      <w:pPr>
        <w:jc w:val="both"/>
      </w:pPr>
      <w:r>
        <w:rPr>
          <w:b/>
          <w:i w:val="0"/>
        </w:rPr>
        <w:t>Порядок учета и снятия с учета ЗСГО</w:t>
      </w:r>
    </w:p>
    <w:p>
      <w:pPr>
        <w:jc w:val="both"/>
      </w:pPr>
      <w:r>
        <w:rPr>
          <w:b w:val="0"/>
          <w:i w:val="0"/>
        </w:rPr>
        <w:t>Правила эксплуатации ЗСГО, утвержденные приказом МЧС России от 15.12.2002 N 583, детально регулируют две ключевые процедуры: ведение учета и снятие с учета защитных сооружений.</w:t>
      </w:r>
    </w:p>
    <w:p>
      <w:pPr>
        <w:jc w:val="both"/>
      </w:pPr>
      <w:r>
        <w:rPr>
          <w:b w:val="0"/>
          <w:i w:val="0"/>
        </w:rPr>
        <w:t>С точки зрения учета все довольно формализовано:</w:t>
      </w:r>
    </w:p>
    <w:p>
      <w:pPr>
        <w:jc w:val="both"/>
      </w:pPr>
      <w:r>
        <w:rPr>
          <w:b w:val="0"/>
          <w:i w:val="0"/>
        </w:rPr>
        <w:t>- каждое ЗСГО подлежит внесению в журнал учета, который ведут как органы МЧС, так и организации-балансодержатели;</w:t>
      </w:r>
    </w:p>
    <w:p>
      <w:pPr>
        <w:jc w:val="both"/>
      </w:pPr>
      <w:r>
        <w:rPr>
          <w:b w:val="0"/>
          <w:i w:val="0"/>
        </w:rPr>
        <w:t>- документальным основанием служит паспорт ЗСГО; при его отсутствии – проектная и техническая документация, позволяющая однозначно квалифицировать помещение как защитное сооружение;</w:t>
      </w:r>
    </w:p>
    <w:p>
      <w:pPr>
        <w:jc w:val="both"/>
      </w:pPr>
      <w:r>
        <w:rPr>
          <w:b w:val="0"/>
          <w:i w:val="0"/>
        </w:rPr>
        <w:t>- сведения о ведомственной принадлежности, типе, вместимости, состоянии систем жизнеобеспечения фиксируются и должны обновляться при существенных изменениях.</w:t>
      </w:r>
    </w:p>
    <w:p>
      <w:pPr>
        <w:jc w:val="both"/>
      </w:pPr>
      <w:r>
        <w:rPr>
          <w:b w:val="0"/>
          <w:i w:val="0"/>
        </w:rPr>
        <w:t>Снятие с учета организовано более сложно, потому что предполагает решение о фактическом исключении объекта из фонда ЗСГО. Правила устанавливают следующие основания снятия ЗСГО с учета:</w:t>
      </w:r>
    </w:p>
    <w:p>
      <w:pPr>
        <w:jc w:val="both"/>
      </w:pPr>
      <w:r>
        <w:rPr>
          <w:b w:val="0"/>
          <w:i w:val="0"/>
        </w:rPr>
        <w:t>- утрату расчетных защитных свойств ограждающих и несущих конструкций, если восстановление технически невозможно или экономически нецелесообразно;</w:t>
      </w:r>
    </w:p>
    <w:p>
      <w:pPr>
        <w:jc w:val="both"/>
      </w:pPr>
      <w:r>
        <w:rPr>
          <w:b w:val="0"/>
          <w:i w:val="0"/>
        </w:rPr>
        <w:t>- фактическое отсутствие ЗСГО по учетному адресу (например, снос);</w:t>
      </w:r>
    </w:p>
    <w:p>
      <w:pPr>
        <w:jc w:val="both"/>
      </w:pPr>
      <w:r>
        <w:rPr>
          <w:b w:val="0"/>
          <w:i w:val="0"/>
        </w:rPr>
        <w:t>- изменение типа при переводе убежища в противорадиационное укрытие или иное помещение с меньшими защитными свойствами (при соблюдении установленных требований).</w:t>
      </w:r>
    </w:p>
    <w:p>
      <w:pPr>
        <w:jc w:val="both"/>
      </w:pPr>
      <w:r>
        <w:rPr>
          <w:b w:val="0"/>
          <w:i w:val="0"/>
        </w:rPr>
        <w:t>Ключевой инструмент – комиссия по обследованию и снятию с учета. В нее, как правило, входят:</w:t>
      </w:r>
    </w:p>
    <w:p>
      <w:pPr>
        <w:jc w:val="both"/>
      </w:pPr>
      <w:r>
        <w:rPr>
          <w:b w:val="0"/>
          <w:i w:val="0"/>
        </w:rPr>
        <w:t>- представители территориальных органов МЧС;</w:t>
      </w:r>
    </w:p>
    <w:p>
      <w:pPr>
        <w:jc w:val="both"/>
      </w:pPr>
      <w:r>
        <w:rPr>
          <w:b w:val="0"/>
          <w:i w:val="0"/>
        </w:rPr>
        <w:t>- представители собственника/балансодержателя;</w:t>
      </w:r>
    </w:p>
    <w:p>
      <w:pPr>
        <w:jc w:val="both"/>
      </w:pPr>
      <w:r>
        <w:rPr>
          <w:b w:val="0"/>
          <w:i w:val="0"/>
        </w:rPr>
        <w:t>- представители органов, уполномоченных управлять соответствующим имуществом (Росимущество, органы имущественных отношений субъектов).</w:t>
      </w:r>
    </w:p>
    <w:p>
      <w:pPr>
        <w:jc w:val="both"/>
      </w:pPr>
      <w:r>
        <w:rPr>
          <w:b w:val="0"/>
          <w:i w:val="0"/>
        </w:rPr>
        <w:t>Отказ одного из обязательных участников направить своего представителя фактически блокирует процедуру. Именно на этом месте и возник конфликт в деле АО «Янтарь»: город и МЧС представителя направили, ТУ Росимущества в г. Москве – нет, мотивируя это спорным правовым статусом объекта и ссылками на неприватизируемость.</w:t>
      </w:r>
    </w:p>
    <w:p>
      <w:r/>
    </w:p>
    <w:p>
      <w:pPr>
        <w:jc w:val="both"/>
      </w:pPr>
      <w:r>
        <w:rPr>
          <w:b/>
          <w:i w:val="0"/>
        </w:rPr>
        <w:t>Дело АО «Янтарь»: как суды оценили бездействие Росимущества</w:t>
      </w:r>
    </w:p>
    <w:p>
      <w:pPr>
        <w:jc w:val="both"/>
      </w:pPr>
      <w:r>
        <w:rPr>
          <w:b w:val="0"/>
          <w:i w:val="0"/>
        </w:rPr>
        <w:t>По материалам дела А40-306010/23 АО «Янтарь» обратилось в арбитражный суд с требованием признать незаконным бездействие ТУ Росимущества в г. Москве, выразившееся в отказе создать комиссию (и направить своих представителей) для снятия с учета убежища N 012706-77 и обязать управление устранить нарушение. Первая инстанция требования удовлетворила, Девятый арбитражный апелляционный суд решение оставил в силе.</w:t>
      </w:r>
    </w:p>
    <w:p>
      <w:pPr>
        <w:jc w:val="both"/>
      </w:pPr>
      <w:r>
        <w:rPr>
          <w:b w:val="0"/>
          <w:i w:val="0"/>
        </w:rPr>
        <w:t>Логика суда апелляционной инстанции строится на нескольких опорных точках.</w:t>
      </w:r>
    </w:p>
    <w:p>
      <w:pPr>
        <w:jc w:val="both"/>
      </w:pPr>
      <w:r>
        <w:rPr>
          <w:b w:val="0"/>
          <w:i w:val="0"/>
        </w:rPr>
        <w:t>Во-первых, анализируются имущественные права заявителя. Ранее, в другом арбитражном деле, суды уже установили:</w:t>
      </w:r>
    </w:p>
    <w:p>
      <w:pPr>
        <w:jc w:val="both"/>
      </w:pPr>
      <w:r>
        <w:rPr>
          <w:b w:val="0"/>
          <w:i w:val="0"/>
        </w:rPr>
        <w:t>- приватизация имущественного комплекса завода «Янтарь» в 1991 году включала спорное здание с подвалом;</w:t>
      </w:r>
    </w:p>
    <w:p>
      <w:pPr>
        <w:jc w:val="both"/>
      </w:pPr>
      <w:r>
        <w:rPr>
          <w:b w:val="0"/>
          <w:i w:val="0"/>
        </w:rPr>
        <w:t>- свидетельства о собственности и последующие записи в реестрах подтверждают право заявителя на здание целиком, включая подвал;</w:t>
      </w:r>
    </w:p>
    <w:p>
      <w:pPr>
        <w:jc w:val="both"/>
      </w:pPr>
      <w:r>
        <w:rPr>
          <w:b w:val="0"/>
          <w:i w:val="0"/>
        </w:rPr>
        <w:t>- в реестре федерального имущества сведений о спорном убежище не имеется;</w:t>
      </w:r>
    </w:p>
    <w:p>
      <w:pPr>
        <w:jc w:val="both"/>
      </w:pPr>
      <w:r>
        <w:rPr>
          <w:b w:val="0"/>
          <w:i w:val="0"/>
        </w:rPr>
        <w:t>- в паспорте ЗСГО и инвентаризационной карточке убежище указано как принадлежащее ЗАО/АО «Янтарь» и закреплено за ним как эксплуатирующей организацией.</w:t>
      </w:r>
    </w:p>
    <w:p>
      <w:pPr>
        <w:jc w:val="both"/>
      </w:pPr>
      <w:r>
        <w:rPr>
          <w:b w:val="0"/>
          <w:i w:val="0"/>
        </w:rPr>
        <w:t xml:space="preserve">Во-вторых, суд учитывает техническое состояние убежища. По результатам обследования, выполненного с учетом требований Свода правил </w:t>
      </w:r>
      <w:hyperlink r:id="rId12">
        <w:r>
          <w:rPr>
            <w:color w:val="0563C1"/>
            <w:u w:val="single"/>
          </w:rPr>
          <w:t xml:space="preserve">СП 88.13330.2022</w:t>
        </w:r>
      </w:hyperlink>
      <w:r>
        <w:rPr>
          <w:b w:val="0"/>
          <w:i w:val="0"/>
        </w:rPr>
        <w:t xml:space="preserve"> «Защитные сооружения гражданской обороны», подвальное помещение не отвечает нормам к убежищам: недостаточная несущая способность фундаментов и перекрытий, коррозия арматуры, неработающие системы жизнеобеспечения. Причины носят длительный, накопленный характер – износ конструкций, дополнительные нагрузки при перепланировках.</w:t>
      </w:r>
    </w:p>
    <w:p>
      <w:pPr>
        <w:jc w:val="both"/>
      </w:pPr>
      <w:r>
        <w:rPr>
          <w:b w:val="0"/>
          <w:i w:val="0"/>
        </w:rPr>
        <w:t xml:space="preserve">Здесь важно, что суды не подменяют собой технического эксперта. Они опираются на уже проведенное обследование и на то, что отсутствие соответствия СП </w:t>
      </w:r>
      <w:hyperlink r:id="rId12">
        <w:r>
          <w:rPr>
            <w:color w:val="0563C1"/>
            <w:u w:val="single"/>
          </w:rPr>
          <w:t xml:space="preserve">СП 88.13330.2022</w:t>
        </w:r>
      </w:hyperlink>
      <w:r>
        <w:rPr>
          <w:b w:val="0"/>
          <w:i w:val="0"/>
        </w:rPr>
        <w:t xml:space="preserve"> неоспоримо установлено в заключении. Для специалистов ГОЧС это означает простую вещь: без качественного технического заключения спор о снятии с учета почти обречен.</w:t>
      </w:r>
    </w:p>
    <w:p>
      <w:pPr>
        <w:jc w:val="both"/>
      </w:pPr>
      <w:r>
        <w:rPr>
          <w:b w:val="0"/>
          <w:i w:val="0"/>
        </w:rPr>
        <w:t>В-третьих, суд оценивает поведение самого ТУ Росимущества. В материалах фигурирует примечательный эпизод: в 2021 году Росимущество уже направляло своего представителя в комиссию по этому же убежищу, а в 2023 году при аналогичном обращении отказалось это сделать, сославшись на «неопределенность правового статуса объекта». Такое изменение позиции без изменения исходных правовых и фактических обстоятельств суд расценил как противоречащее принципам добросовестности и последовательно нарушающее права заявителя.</w:t>
      </w:r>
    </w:p>
    <w:p>
      <w:pPr>
        <w:jc w:val="both"/>
      </w:pPr>
      <w:r>
        <w:rPr>
          <w:b w:val="0"/>
          <w:i w:val="0"/>
        </w:rPr>
        <w:t>В результате апелляционный суд соглашается с выводом первой инстанции:</w:t>
      </w:r>
    </w:p>
    <w:p>
      <w:pPr>
        <w:jc w:val="both"/>
      </w:pPr>
      <w:r>
        <w:rPr>
          <w:b w:val="0"/>
          <w:i w:val="0"/>
        </w:rPr>
        <w:t>- бездействие ТУ Росимущества (отказ участвовать в создании комиссии) не соответствует действующему законодательству о ГО и приватизации;</w:t>
      </w:r>
    </w:p>
    <w:p>
      <w:pPr>
        <w:jc w:val="both"/>
      </w:pPr>
      <w:r>
        <w:rPr>
          <w:b w:val="0"/>
          <w:i w:val="0"/>
        </w:rPr>
        <w:t>- это бездействие создает препятствия для реализации прав собственника по распоряжению своим имуществом и по надлежащему оформлению снятия ЗСГО с учета;</w:t>
      </w:r>
    </w:p>
    <w:p>
      <w:pPr>
        <w:jc w:val="both"/>
      </w:pPr>
      <w:r>
        <w:rPr>
          <w:b w:val="0"/>
          <w:i w:val="0"/>
        </w:rPr>
        <w:t>- совокупность условий, предусмотренных частью 1 статьи 198 и частью 4 статьи 200 АПК РФ, для признания бездействия незаконным налицо.</w:t>
      </w:r>
    </w:p>
    <w:p>
      <w:pPr>
        <w:jc w:val="both"/>
      </w:pPr>
      <w:r>
        <w:rPr>
          <w:b w:val="0"/>
          <w:i w:val="0"/>
        </w:rPr>
        <w:t>Отдельный штрих: суд прямо ссылается на часть 2 статьи 69 АПК РФ о преюдициальности</w:t>
      </w:r>
      <w:r>
        <w:rPr>
          <w:vertAlign w:val="superscript"/>
        </w:rPr>
        <w:t>15</w:t>
      </w:r>
      <w:r>
        <w:rPr>
          <w:b w:val="0"/>
          <w:i w:val="0"/>
        </w:rPr>
        <w:t xml:space="preserve"> обстоятельств, установленных вступившими в силу судебными актами. То есть Росимущество не вправе «по новой» ставить под сомнение право собственности АО «Янтарь» на объект, если этот вопрос уже был разрешен судом ранее.</w:t>
      </w:r>
    </w:p>
    <w:p>
      <w:pPr>
        <w:jc w:val="both"/>
      </w:pPr>
      <w:r>
        <w:rPr>
          <w:b w:val="0"/>
          <w:i w:val="0"/>
        </w:rPr>
        <w:t>С юридической точки зрения спор вокруг убежища АО «Янтарь» крутился вокруг одной идеи: может ли орган, отвечающий за управление федеральным имуществом, ссылаться на неприватизируемость объекта ГО как на основание для саботажа процедуры снятия с учета, если при этом не доказывает наличие федеральной собственности и игнорирует ранее установленные судом обстоятельства.</w:t>
      </w:r>
    </w:p>
    <w:p>
      <w:pPr>
        <w:jc w:val="both"/>
      </w:pPr>
      <w:r>
        <w:rPr>
          <w:b w:val="0"/>
          <w:i w:val="0"/>
        </w:rPr>
        <w:t>Девятый арбитражный апелляционный суд фактически отвечает: нет, не может. Наличие запрета на приватизацию определенных категорий имущества само по себе не отменяет прав собственника, если:</w:t>
      </w:r>
    </w:p>
    <w:p>
      <w:pPr>
        <w:jc w:val="both"/>
      </w:pPr>
      <w:r>
        <w:rPr>
          <w:b w:val="0"/>
          <w:i w:val="0"/>
        </w:rPr>
        <w:t>- приватизация предприятия и оформление прав прошли в иной правовой реальности начала 1990-х;</w:t>
      </w:r>
    </w:p>
    <w:p>
      <w:pPr>
        <w:jc w:val="both"/>
      </w:pPr>
      <w:r>
        <w:rPr>
          <w:b w:val="0"/>
          <w:i w:val="0"/>
        </w:rPr>
        <w:t>- государство не реализовало вовремя свои полномочия по корректировке реестров и оспариванию сделок;</w:t>
      </w:r>
    </w:p>
    <w:p>
      <w:pPr>
        <w:jc w:val="both"/>
      </w:pPr>
      <w:r>
        <w:rPr>
          <w:b w:val="0"/>
          <w:i w:val="0"/>
        </w:rPr>
        <w:t>- суды уже подтвердили права конкретного лица на объект.</w:t>
      </w:r>
    </w:p>
    <w:p>
      <w:pPr>
        <w:jc w:val="both"/>
      </w:pPr>
      <w:r>
        <w:rPr>
          <w:b w:val="0"/>
          <w:i w:val="0"/>
        </w:rPr>
        <w:t>Для специалистов ГОЧС это означает, что при работе с ЗСГО на приватизированных предприятиях важно не подменять доказанную правовую реальность ссылками на общие принципы. Если балансодержатель юридически признан собственником здания, а государство не имеет зарегистрированного права на ЗСГО, то орган управления федеральным имуществом не может бесконечно использовать риторику «объект в принципе должен быть нашим» как средство блокировки любых решений.</w:t>
      </w:r>
    </w:p>
    <w:p>
      <w:r/>
    </w:p>
    <w:p>
      <w:pPr>
        <w:jc w:val="both"/>
      </w:pPr>
      <w:r>
        <w:rPr>
          <w:b/>
          <w:i w:val="0"/>
        </w:rPr>
        <w:t xml:space="preserve">Техническое состояние убежищ: как </w:t>
      </w:r>
      <w:hyperlink r:id="rId12">
        <w:r>
          <w:rPr>
            <w:b/>
            <w:color w:val="0563C1"/>
            <w:u w:val="single"/>
          </w:rPr>
          <w:t xml:space="preserve">СП 88.13330.2022</w:t>
        </w:r>
      </w:hyperlink>
      <w:r>
        <w:rPr>
          <w:b/>
          <w:i w:val="0"/>
        </w:rPr>
        <w:t xml:space="preserve"> может повлиять на судьбу ЗСГО</w:t>
      </w:r>
    </w:p>
    <w:p>
      <w:pPr>
        <w:jc w:val="both"/>
      </w:pPr>
      <w:r>
        <w:rPr>
          <w:b w:val="0"/>
          <w:i w:val="0"/>
        </w:rPr>
        <w:t xml:space="preserve">Свод правил </w:t>
      </w:r>
      <w:hyperlink r:id="rId12">
        <w:r>
          <w:rPr>
            <w:color w:val="0563C1"/>
            <w:u w:val="single"/>
          </w:rPr>
          <w:t xml:space="preserve">СП 88.13330.2022</w:t>
        </w:r>
      </w:hyperlink>
      <w:r>
        <w:rPr>
          <w:b w:val="0"/>
          <w:i w:val="0"/>
        </w:rPr>
        <w:t xml:space="preserve"> «Защитные сооружения гражданской обороны» во многом изменил подход к оценке готовности ЗСГО. Он увел дискуссию из плоскости «есть стены и двери – значит убежище» в сторону конкретных проверяемых параметров: расчетные нагрузки, герметичность, системы вентиляции, водоснабжения, электроснабжения, противопожарная защита и т.д.</w:t>
      </w:r>
    </w:p>
    <w:p>
      <w:pPr>
        <w:jc w:val="both"/>
      </w:pPr>
      <w:r>
        <w:rPr>
          <w:b w:val="0"/>
          <w:i w:val="0"/>
        </w:rPr>
        <w:t>В деле АО «Янтарь» техническое заключение по обследованию ЗСГО стало ключевым аргументом в пользу вывода о невозможности эксплуатации убежища по назначению. Механическое сохранение его на учете в условиях, когда несущие конструкции не соответствуют требованиям, а системы жизнеобеспечения разрушены, создало бы иллюзию защищенности там, где ее нет.</w:t>
      </w:r>
    </w:p>
    <w:p>
      <w:pPr>
        <w:jc w:val="both"/>
      </w:pPr>
      <w:r>
        <w:rPr>
          <w:b w:val="0"/>
          <w:i w:val="0"/>
        </w:rPr>
        <w:t>По данным ВНИИ ГОЧС, по итогам инвентаризаций 2013–2014 и 2018 годов количество ЗСГО, не готовых к приему укрываемых, в несколько раз превышает количество готовых и ограниченно готовых по стране. В отдельных регионах, как, например, в Республике Татарстан, на учете находятся около 800 убежищ, при этом примерно 48 процентов из них ограниченно готовы или не готовы к использованию по предназначению.</w:t>
      </w:r>
    </w:p>
    <w:p>
      <w:pPr>
        <w:jc w:val="both"/>
      </w:pPr>
      <w:r>
        <w:rPr>
          <w:b w:val="0"/>
          <w:i w:val="0"/>
        </w:rPr>
        <w:t>Эти цифры для специалистов ГОЧС не в новинку, но в судебной плоскости они подталкивают к непростому выбору: продолжать формально держать аварийные сооружения на учете, перекладывая ответственность на балансодержателей, или выстраивать честную процедуру их снятия с учета с последующей реконструкцией или заменой другими средствами коллективной защиты. Дело АО «Янтарь» показывает, что попытки «заморозить» ситуацию за счет процессуальных отговорок со стороны федеральных органов в современных условиях уже не проходят.</w:t>
      </w:r>
    </w:p>
    <w:p>
      <w:r/>
    </w:p>
    <w:p>
      <w:pPr>
        <w:jc w:val="both"/>
      </w:pPr>
      <w:r>
        <w:rPr>
          <w:b/>
          <w:i w:val="0"/>
        </w:rPr>
        <w:t>Процессуальные инструменты: как защищать права через арбитраж</w:t>
      </w:r>
    </w:p>
    <w:p>
      <w:pPr>
        <w:jc w:val="both"/>
      </w:pPr>
      <w:r>
        <w:rPr>
          <w:b w:val="0"/>
          <w:i w:val="0"/>
        </w:rPr>
        <w:t>Для органов ГОЧС и собственников объектов важно, что в описанной истории был задействован относительно «классический» механизм оспаривания бездействия органов, наделенных публичными полномочиями.</w:t>
      </w:r>
    </w:p>
    <w:p>
      <w:pPr>
        <w:jc w:val="both"/>
      </w:pPr>
      <w:r>
        <w:rPr>
          <w:b w:val="0"/>
          <w:i w:val="0"/>
        </w:rPr>
        <w:t>Часть 1 статьи 198 АПК РФ позволяет организациям обращаться в арбитражный суд с заявлениями о признании незаконными решений, действий и бездействия органов, осуществляющих публичные полномочия, если:</w:t>
      </w:r>
    </w:p>
    <w:p>
      <w:pPr>
        <w:jc w:val="both"/>
      </w:pPr>
      <w:r>
        <w:rPr>
          <w:b w:val="0"/>
          <w:i w:val="0"/>
        </w:rPr>
        <w:t>- они не соответствуют закону или иному нормативному акту;</w:t>
      </w:r>
    </w:p>
    <w:p>
      <w:pPr>
        <w:jc w:val="both"/>
      </w:pPr>
      <w:r>
        <w:rPr>
          <w:b w:val="0"/>
          <w:i w:val="0"/>
        </w:rPr>
        <w:t>- нарушают права и законные интересы заявителя в сфере предпринимательской и иной экономической деятельности;</w:t>
      </w:r>
    </w:p>
    <w:p>
      <w:pPr>
        <w:jc w:val="both"/>
      </w:pPr>
      <w:r>
        <w:rPr>
          <w:b w:val="0"/>
          <w:i w:val="0"/>
        </w:rPr>
        <w:t>- создают препятствия для ее осуществления.</w:t>
      </w:r>
    </w:p>
    <w:p>
      <w:pPr>
        <w:jc w:val="both"/>
      </w:pPr>
      <w:r>
        <w:rPr>
          <w:b w:val="0"/>
          <w:i w:val="0"/>
        </w:rPr>
        <w:t>Часть 4 статьи 200 АПК РФ обязывает суд проверять не только формальное наличие полномочий у органа, но и соответствие оспариваемых действий закону и их влияние на права заявителя. В случае с АО «Янтарь» суды последовательно проверили оба условия:</w:t>
      </w:r>
    </w:p>
    <w:p>
      <w:pPr>
        <w:jc w:val="both"/>
      </w:pPr>
      <w:r>
        <w:rPr>
          <w:b w:val="0"/>
          <w:i w:val="0"/>
        </w:rPr>
        <w:t>- со стороны ТУ Росимущества имелась обязанность участвовать в комиссиях по учету и снятию с учета ЗСГО, вытекающая в том числе из приказа N 583 и их роли в системе управления федеральным имуществом;</w:t>
      </w:r>
    </w:p>
    <w:p>
      <w:pPr>
        <w:jc w:val="both"/>
      </w:pPr>
      <w:r>
        <w:rPr>
          <w:b w:val="0"/>
          <w:i w:val="0"/>
        </w:rPr>
        <w:t>- отказ направить представителя нарушал права собственника на распоряжение имуществом и создание безопасных условий эксплуатации здания, фактически блокируя процесс, предусмотренный действующим порядком.</w:t>
      </w:r>
    </w:p>
    <w:p>
      <w:pPr>
        <w:jc w:val="both"/>
      </w:pPr>
      <w:r>
        <w:rPr>
          <w:b w:val="0"/>
          <w:i w:val="0"/>
        </w:rPr>
        <w:t>Здесь важно, что суд не поддался на «подмену» предмета спора: вместо обсуждения «кому по идее должен принадлежать объект ГО» он проверял конкретное бездействие в рамках действующих прав и обязанностей. Такой подход особенно ценен для практиков: арбитраж не будет абстрактно решать, что «для безопасности лучше», он оценит, соблюдается ли установленный порядок.</w:t>
      </w:r>
    </w:p>
    <w:p>
      <w:r/>
    </w:p>
    <w:p>
      <w:pPr>
        <w:jc w:val="both"/>
      </w:pPr>
      <w:r>
        <w:rPr>
          <w:b/>
          <w:i w:val="0"/>
        </w:rPr>
        <w:t>Практические рекомендации для органов ГОЧС и собственников объектов</w:t>
      </w:r>
    </w:p>
    <w:p>
      <w:pPr>
        <w:jc w:val="both"/>
      </w:pPr>
      <w:r>
        <w:rPr>
          <w:b w:val="0"/>
          <w:i w:val="0"/>
        </w:rPr>
        <w:t>Для специалистов ГОЧС, органов исполнительной власти и собственников зданий с размещенными в них ЗСГО из дела АО «Янтарь» можно извлечь несколько практических выводов (табл. 1).</w:t>
      </w:r>
    </w:p>
    <w:p>
      <w:r/>
    </w:p>
    <w:p>
      <w:pPr>
        <w:jc w:val="right"/>
      </w:pPr>
      <w:r>
        <w:rPr>
          <w:b w:val="0"/>
          <w:i w:val="0"/>
        </w:rPr>
        <w:t>Таблица 1</w:t>
      </w:r>
    </w:p>
    <w:p>
      <w:r/>
    </w:p>
    <w:p>
      <w:pPr>
        <w:jc w:val="center"/>
      </w:pPr>
      <w:r>
        <w:rPr>
          <w:b w:val="0"/>
          <w:i w:val="0"/>
        </w:rPr>
        <w:t>Нормативно-правовые акты, используемые в спорах о ЗСГО</w:t>
      </w:r>
    </w:p>
    <w:p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Наименование акта</w:t>
            </w:r>
          </w:p>
        </w:tc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Ключевые положения</w:t>
            </w:r>
          </w:p>
        </w:tc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Практическое значение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Федеральный закон от 12.02.1998 N 28-ФЗ "О гражданской обороне"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Закрепляет полномочия РФ по определению порядка создания и эксплуатации убежищ и иных объектов ГО.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Любые региональные и ведомственные акты о ЗСГО должны соответствовать этому закону; ссылки на него позволяют обосновать обязанность органов власти не только создавать, но и поддерживать ЗСГО в готовности либо принимать решения об их выводе.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Постановление Правительства РФ N 1309 «О порядке создания убежищ и иных объектов гражданской обороны»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Определяет, что относится к объектам ГО, устанавливает общие правила их создания и закрепляет ответственность организаций за строительство и содержание.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Позволяет отделять «приспособленные подвалы» от полноценных ЗСГО, а также связывать обязанность по содержанию сооружения с обязанностью по его созданию и финансированию.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Приказ МЧС России N 583 «Об утверждении и введении в действие Правил эксплуатации ЗСГО»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Регламентирует учет, эксплуатацию и снятие ЗСГО с учета; описывает состав комиссий, документы и основания для вывода из фонда.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Основной нормативный документ для комиссий; нарушения требований правил (например, отказ направить представителя) могут служить основанием для арбитражного спора.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СП 88.13330.2022 «Защитные сооружения гражданской обороны»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Устанавливает требования к конструкциям, инженерным системам и обследованию существующих ЗСГО.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Без ссылки на СП вывод о технической непригодности убежища будет недостаточно обоснован; обследование с опорой на СП формирует основу правовой позиции.</w:t>
            </w:r>
          </w:p>
        </w:tc>
      </w:tr>
      <w:tr>
        <w:tc>
          <w:tcPr>
            <w:tcW w:type="dxa" w:w="9921"/>
          </w:tcPr>
          <w:p>
            <w:pPr>
              <w:jc w:val="left"/>
            </w:pPr>
            <w:r>
              <w:t>ФЗ N 178-ФЗ «О приватизации государственного и муниципального имущества» и Постановление ВС РФ N 3020-1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Определяют перечень имущества, не подлежащего приватизации, и закрепляют объекты ГО за федеральной собственностью.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Используются органами Росимущества для аргументации, но не освобождают их от обязанности доказывать наличие зарегистрированного права и учитывать преюдицию.</w:t>
            </w:r>
          </w:p>
        </w:tc>
      </w:tr>
    </w:tbl>
    <w:p>
      <w:r/>
    </w:p>
    <w:p>
      <w:pPr>
        <w:jc w:val="both"/>
      </w:pPr>
      <w:r>
        <w:rPr>
          <w:b w:val="0"/>
          <w:i w:val="0"/>
        </w:rPr>
        <w:t>Отсюда вытекает несколько практических рекомендаций.</w:t>
      </w:r>
    </w:p>
    <w:p>
      <w:pPr>
        <w:jc w:val="both"/>
      </w:pPr>
      <w:r>
        <w:rPr>
          <w:b w:val="0"/>
          <w:i w:val="0"/>
        </w:rPr>
        <w:t>Для собственников и балансодержателей:</w:t>
      </w:r>
    </w:p>
    <w:p>
      <w:pPr>
        <w:jc w:val="both"/>
      </w:pPr>
      <w:r>
        <w:rPr>
          <w:b w:val="0"/>
          <w:i w:val="0"/>
        </w:rPr>
        <w:t xml:space="preserve">- максимально рано инициировать обследование ЗСГО с привлечением компетентной организации, работающей по </w:t>
      </w:r>
      <w:hyperlink r:id="rId12">
        <w:r>
          <w:rPr>
            <w:color w:val="0563C1"/>
            <w:u w:val="single"/>
          </w:rPr>
          <w:t xml:space="preserve">СП 88.13330.2022</w:t>
        </w:r>
      </w:hyperlink>
      <w:r>
        <w:rPr>
          <w:b w:val="0"/>
          <w:i w:val="0"/>
        </w:rPr>
        <w:t xml:space="preserve"> со всеми видами необходимых испытаний и испытаний, а не формальной справкой осмотра ЗСГО;</w:t>
      </w:r>
    </w:p>
    <w:p>
      <w:pPr>
        <w:jc w:val="both"/>
      </w:pPr>
      <w:r>
        <w:rPr>
          <w:b w:val="0"/>
          <w:i w:val="0"/>
        </w:rPr>
        <w:t>- собирать и систематизировать весь пакет правоустанавливающих документов по объекту: акты приватизации, свидетельства, выписки из ЕГРН, старые инвентаризационные карточки и паспорта ЗСГО;</w:t>
      </w:r>
    </w:p>
    <w:p>
      <w:pPr>
        <w:jc w:val="both"/>
      </w:pPr>
      <w:r>
        <w:rPr>
          <w:b w:val="0"/>
          <w:i w:val="0"/>
        </w:rPr>
        <w:t>- при обращении в органы (МЧС, деп</w:t>
      </w:r>
      <w:hyperlink r:id="rId11">
        <w:r>
          <w:rPr>
            <w:color w:val="0563C1"/>
            <w:u w:val="single"/>
          </w:rPr>
          <w:t xml:space="preserve">артаменты имущества, Росимущество) четко ссылаться на нормы закона о гражданской обороне, Правила эксплуатации защитных сооружений гражданской обороны (утв. приказом МЧС России от 15.12.2002 N 583</w:t>
        </w:r>
      </w:hyperlink>
      <w:r>
        <w:rPr>
          <w:b w:val="0"/>
          <w:i w:val="0"/>
        </w:rPr>
        <w:t xml:space="preserve"> и региональные акты, фиксируя каждое письмо и ответ;</w:t>
      </w:r>
    </w:p>
    <w:p>
      <w:pPr>
        <w:jc w:val="both"/>
      </w:pPr>
      <w:r>
        <w:rPr>
          <w:b w:val="0"/>
          <w:i w:val="0"/>
        </w:rPr>
        <w:t>- в случае блокирующего отказа органов – не затягивать с подачей заявления в арбитражный суд по главе 24 АПК РФ, выстраивая предмет спора вокруг конкретного бездействия, а не вокруг глобальной «правильности» приватизации тридцатилетней давности.</w:t>
      </w:r>
    </w:p>
    <w:p>
      <w:pPr>
        <w:jc w:val="both"/>
      </w:pPr>
      <w:r>
        <w:rPr>
          <w:b w:val="0"/>
          <w:i w:val="0"/>
        </w:rPr>
        <w:t>Для органов ГОЧС и имущественных органов субъектов:</w:t>
      </w:r>
    </w:p>
    <w:p>
      <w:pPr>
        <w:jc w:val="both"/>
      </w:pPr>
      <w:r>
        <w:rPr>
          <w:b w:val="0"/>
          <w:i w:val="0"/>
        </w:rPr>
        <w:t>- выстраивать взаимодействие с балансодержателями ЗСГО не только через надзор и предписания, но и через сопровождение процедур снятия с учета в действительно аварийных случаях;</w:t>
      </w:r>
    </w:p>
    <w:p>
      <w:pPr>
        <w:jc w:val="both"/>
      </w:pPr>
      <w:r>
        <w:rPr>
          <w:b w:val="0"/>
          <w:i w:val="0"/>
        </w:rPr>
        <w:t>- инициировать актуализацию реестров ЗСГО, используя результаты инвентаризаций и технических обследований, чтобы уменьшить число «бумажно существующих» убежищ;</w:t>
      </w:r>
    </w:p>
    <w:p>
      <w:pPr>
        <w:jc w:val="both"/>
      </w:pPr>
      <w:r>
        <w:rPr>
          <w:b w:val="0"/>
          <w:i w:val="0"/>
        </w:rPr>
        <w:t>- учитывать, что формальный отказ федерального органа от участия в комиссии может быть признан незаконным бездействием, и заранее прорабатывать с Росимуществом механизмы согласования действий в спорных случаях.</w:t>
      </w:r>
    </w:p>
    <w:p>
      <w:r/>
    </w:p>
    <w:p>
      <w:pPr>
        <w:jc w:val="both"/>
      </w:pPr>
      <w:r>
        <w:rPr>
          <w:b/>
          <w:i w:val="0"/>
        </w:rPr>
        <w:t>Вместо финальной точки: готовы ли мы к обновлению фонда ЗСГО?</w:t>
      </w:r>
    </w:p>
    <w:p>
      <w:pPr>
        <w:jc w:val="both"/>
      </w:pPr>
      <w:r>
        <w:rPr>
          <w:b w:val="0"/>
          <w:i w:val="0"/>
        </w:rPr>
        <w:t>Дело АО «Янтарь» – не про один подвальный этаж на улице Электродной. Это про то, насколько система гражданской обороны в состоянии честно ответить себе на вопрос: какие защитные сооружения реально работают, а какие остались в документах прошлого века. Арбитраж показал, что при конфликте интересов суд, опираясь на Закон о гражданской обороне, нормы приватизации и технические стандарты, готов встать на сторону активного собственника и признать незаконным ведомственное бездействие.</w:t>
      </w:r>
    </w:p>
    <w:p>
      <w:pPr>
        <w:jc w:val="both"/>
      </w:pPr>
      <w:r>
        <w:rPr>
          <w:b w:val="0"/>
          <w:i w:val="0"/>
        </w:rPr>
        <w:t>Но если почти половина фонда ЗСГО в отдельных регионах ограниченно готова или не готова вовсе, а по стране число неготовых сооружений в разы превосходит число готовых, то каждый такой спор – лишь симптом гораздо более крупной проблемы. Вопрос, который неизбежно встает перед системой ГОЧС: удастся ли превратить эти судебные решения в отправную точку для планомерной перезагрузки и модернизации фонда защитных сооружений, или и дальше аварийные убежища будут жить только на бумаге?</w:t>
      </w:r>
    </w:p>
    <w:p>
      <w:r/>
    </w:p>
    <w:p>
      <w:r/>
    </w:p>
    <w:p/>
    <w:p>
      <w:r>
        <w:rPr>
          <w:b/>
        </w:rPr>
        <w:t>Примечания</w:t>
      </w:r>
    </w:p>
    <w:p>
      <w:r>
        <w:t>15. Преюдициальность (преюдиция) – обязательность для всех судов, рассматривающих дело, принять без проверки доказательств факты, ранее установленные вступившим в законную силу судебным решением по другому делу, в котором участвуют те же лица.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0" Type="http://schemas.openxmlformats.org/officeDocument/2006/relationships/hyperlink" Target="https://docs.google.com/document/d/17UGcBgi-giQ7Xeq8Bxgkus-eM65EJYXO/edit?usp=drivesdk&amp;ouid=107636637261335910720&amp;rtpof=true&amp;sd=true" TargetMode="External"/><Relationship Id="rId11" Type="http://schemas.openxmlformats.org/officeDocument/2006/relationships/hyperlink" Target="https://docs.google.com/document/d/13BnnaQ1eSRwLin6BKwlB5MqpT8ON0Dlc/edit?usp=drivesdk&amp;ouid=107636637261335910720&amp;rtpof=true&amp;sd=true" TargetMode="External"/><Relationship Id="rId12" Type="http://schemas.openxmlformats.org/officeDocument/2006/relationships/hyperlink" Target="https://docs.google.com/document/d/1noHpJEnOvhR3WVokWEpW7vc8-CtfX1Zk/edit?usp=drivesdk&amp;ouid=107636637261335910720&amp;rtpof=true&amp;sd=true" TargetMode="External"/><Relationship Id="rId13" Type="http://schemas.openxmlformats.org/officeDocument/2006/relationships/hyperlink" Target="https://docs.google.com/document/d/1k8eYCVGTPSS1vgUVcENNJHpTSvzLcohj/edit?usp=drivesdk&amp;ouid=107636637261335910720&amp;rtpof=true&amp;sd=true" TargetMode="External"/><Relationship Id="rId14" Type="http://schemas.openxmlformats.org/officeDocument/2006/relationships/hyperlink" Target="https://docs.google.com/document/d/1zqc4OrOK6RohpUzzfCuevLxa543-ZQRH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