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70EA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>Министерство науки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6868B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>«Пермский национальный исследовательский политехнический университет»</w:t>
      </w:r>
    </w:p>
    <w:p w14:paraId="38D44B8D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 xml:space="preserve">Электротехнический факультет </w:t>
      </w:r>
      <w:r w:rsidRPr="00830D5A">
        <w:rPr>
          <w:rFonts w:ascii="Times New Roman" w:hAnsi="Times New Roman" w:cs="Times New Roman"/>
          <w:sz w:val="28"/>
          <w:szCs w:val="28"/>
        </w:rPr>
        <w:br/>
        <w:t>Кафедра «Информационные технологии и автоматизированные системы»</w:t>
      </w:r>
      <w:r w:rsidRPr="00830D5A">
        <w:rPr>
          <w:rFonts w:ascii="Times New Roman" w:hAnsi="Times New Roman" w:cs="Times New Roman"/>
          <w:sz w:val="28"/>
          <w:szCs w:val="28"/>
        </w:rPr>
        <w:br/>
        <w:t>направление подготовки 09.03.01 – «Информатика и вычислительная техника»</w:t>
      </w:r>
    </w:p>
    <w:p w14:paraId="43633DE2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 xml:space="preserve">Творческий проект </w:t>
      </w:r>
      <w:r w:rsidRPr="00830D5A">
        <w:rPr>
          <w:rFonts w:ascii="Times New Roman" w:hAnsi="Times New Roman" w:cs="Times New Roman"/>
          <w:b/>
          <w:bCs/>
          <w:sz w:val="32"/>
          <w:szCs w:val="32"/>
        </w:rPr>
        <w:br/>
        <w:t>на тему</w:t>
      </w:r>
    </w:p>
    <w:p w14:paraId="5149E2E3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5A">
        <w:rPr>
          <w:rFonts w:ascii="Times New Roman" w:hAnsi="Times New Roman" w:cs="Times New Roman"/>
          <w:b/>
          <w:bCs/>
          <w:sz w:val="32"/>
          <w:szCs w:val="32"/>
        </w:rPr>
        <w:t>«Разработка АРМ Автомеханика»</w:t>
      </w:r>
    </w:p>
    <w:p w14:paraId="1A920BDD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DDD840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6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</w:tblGrid>
      <w:tr w:rsidR="00490DBC" w:rsidRPr="00830D5A" w14:paraId="121BCA33" w14:textId="77777777" w:rsidTr="005C1D62">
        <w:tc>
          <w:tcPr>
            <w:tcW w:w="4252" w:type="dxa"/>
            <w:vAlign w:val="bottom"/>
          </w:tcPr>
          <w:p w14:paraId="2CBE0D95" w14:textId="77777777" w:rsidR="00490DBC" w:rsidRPr="00830D5A" w:rsidRDefault="00490DBC" w:rsidP="005C1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0D5A">
              <w:rPr>
                <w:rFonts w:ascii="Times New Roman" w:hAnsi="Times New Roman" w:cs="Times New Roman"/>
                <w:sz w:val="28"/>
                <w:szCs w:val="28"/>
              </w:rPr>
              <w:t>Выполнил студент гр. ИВТ-25-1б</w:t>
            </w:r>
          </w:p>
        </w:tc>
      </w:tr>
      <w:tr w:rsidR="00490DBC" w:rsidRPr="00830D5A" w14:paraId="68AB2793" w14:textId="77777777" w:rsidTr="005C1D62">
        <w:trPr>
          <w:trHeight w:val="414"/>
        </w:trPr>
        <w:tc>
          <w:tcPr>
            <w:tcW w:w="4252" w:type="dxa"/>
            <w:tcBorders>
              <w:bottom w:val="single" w:sz="4" w:space="0" w:color="auto"/>
            </w:tcBorders>
            <w:vAlign w:val="bottom"/>
          </w:tcPr>
          <w:p w14:paraId="4F28BB6D" w14:textId="77777777" w:rsidR="00490DBC" w:rsidRPr="00830D5A" w:rsidRDefault="00490DBC" w:rsidP="005C1D62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0D5A">
              <w:rPr>
                <w:rFonts w:ascii="Times New Roman" w:hAnsi="Times New Roman" w:cs="Times New Roman"/>
                <w:sz w:val="28"/>
                <w:szCs w:val="28"/>
              </w:rPr>
              <w:t>Захаров Константин Викторович</w:t>
            </w:r>
          </w:p>
        </w:tc>
      </w:tr>
    </w:tbl>
    <w:p w14:paraId="091A3096" w14:textId="77777777" w:rsidR="00490DBC" w:rsidRPr="00830D5A" w:rsidRDefault="00490DBC" w:rsidP="00490DBC">
      <w:pPr>
        <w:spacing w:line="360" w:lineRule="auto"/>
        <w:ind w:firstLine="709"/>
        <w:jc w:val="right"/>
        <w:rPr>
          <w:rFonts w:ascii="Times New Roman" w:hAnsi="Times New Roman" w:cs="Times New Roman"/>
          <w:sz w:val="32"/>
          <w:szCs w:val="32"/>
        </w:rPr>
      </w:pPr>
    </w:p>
    <w:p w14:paraId="4CC69979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9FA8C86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BEDDB28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EFD455B" w14:textId="77777777" w:rsidR="00490DBC" w:rsidRPr="00830D5A" w:rsidRDefault="00490DBC" w:rsidP="00490DBC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55A73E6" w14:textId="77777777" w:rsidR="00490DBC" w:rsidRPr="00830D5A" w:rsidRDefault="00490DBC" w:rsidP="00490DBC">
      <w:pPr>
        <w:rPr>
          <w:rFonts w:ascii="Times New Roman" w:hAnsi="Times New Roman" w:cs="Times New Roman"/>
        </w:rPr>
      </w:pPr>
    </w:p>
    <w:p w14:paraId="1A1D0F1B" w14:textId="77777777" w:rsidR="00490DBC" w:rsidRPr="00830D5A" w:rsidRDefault="00490DBC" w:rsidP="00490DBC">
      <w:pPr>
        <w:rPr>
          <w:rFonts w:ascii="Times New Roman" w:hAnsi="Times New Roman" w:cs="Times New Roman"/>
          <w:lang w:val="en-US"/>
        </w:rPr>
      </w:pPr>
    </w:p>
    <w:p w14:paraId="67D93C66" w14:textId="77777777" w:rsidR="00490DBC" w:rsidRPr="00830D5A" w:rsidRDefault="00490DBC" w:rsidP="00490D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hAnsi="Times New Roman" w:cs="Times New Roman"/>
          <w:sz w:val="28"/>
          <w:szCs w:val="28"/>
        </w:rPr>
        <w:t>г. Пермь, 2026</w:t>
      </w:r>
    </w:p>
    <w:p w14:paraId="2875C1AE" w14:textId="77777777" w:rsidR="00490DBC" w:rsidRPr="00830D5A" w:rsidRDefault="00490DBC" w:rsidP="00490DBC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EDFEE18" w14:textId="77777777" w:rsidR="00490DBC" w:rsidRPr="00830D5A" w:rsidRDefault="00490DBC" w:rsidP="00490DBC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215C46E" w14:textId="1FBE0DA6" w:rsidR="00490DBC" w:rsidRPr="00830D5A" w:rsidRDefault="00490DBC" w:rsidP="00490DBC">
      <w:pPr>
        <w:spacing w:line="360" w:lineRule="auto"/>
        <w:jc w:val="center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СОДЕРЖАНИЕ</w:t>
      </w:r>
    </w:p>
    <w:p w14:paraId="281D8A67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ВВЕДЕНИЕ ........................................................................................................................... 3</w:t>
      </w:r>
    </w:p>
    <w:p w14:paraId="10534E1D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ГЛАВА 1. АНАЛИТИЧЕСКИЙ ОБЗОР И ПОСТАНОВКА ЗАДАЧИ </w:t>
      </w:r>
    </w:p>
    <w:p w14:paraId="66E866F4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1.1. Анализ предметной области (проблемы учета в автосервисах) .......................... 4</w:t>
      </w:r>
    </w:p>
    <w:p w14:paraId="7CC29639" w14:textId="7777777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1.2. Теоретические основы износа деталей (трибология, усталость</w:t>
      </w:r>
    </w:p>
    <w:p w14:paraId="500A0503" w14:textId="718B668B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материалов, влияние климата и дорожного покрытия) ............................................. 5</w:t>
      </w:r>
    </w:p>
    <w:p w14:paraId="62D5EE5F" w14:textId="421B143D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Обоснование выбора стека технологий ....................................................................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7</w:t>
      </w:r>
    </w:p>
    <w:p w14:paraId="44268F7F" w14:textId="5E5076FC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2. ПРОЕКТИРОВАНИЕ АРХИТЕКТУРЫ СИСТЕМЫ ...............................9</w:t>
      </w:r>
    </w:p>
    <w:p w14:paraId="165BE4F0" w14:textId="566165FD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2.1 Паттерн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) в контексте приложения..........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............. 9</w:t>
      </w:r>
    </w:p>
    <w:p w14:paraId="5E6A90F2" w14:textId="55C9AD68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2.2 Гибридная СУБД: обоснование разделения данных 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.....10</w:t>
      </w:r>
    </w:p>
    <w:p w14:paraId="394771E0" w14:textId="71081668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2.3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Изоляция данных пользователей ...................................................................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......11</w:t>
      </w:r>
    </w:p>
    <w:p w14:paraId="04E86FAD" w14:textId="3AD81A9A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2.4 Проектирование сетевого взаимодействия (Client-Server Architecture)…....</w:t>
      </w:r>
      <w:r w:rsid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....12</w:t>
      </w:r>
    </w:p>
    <w:p w14:paraId="6410F665" w14:textId="0B59485B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3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МАТЕМАТИЧЕСКАЯ МОДЕЛЬ ПРЕДИКТИВНОЙ АНАЛИТИКИ</w:t>
      </w:r>
    </w:p>
    <w:p w14:paraId="79C96385" w14:textId="1F3B23C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3.1 Модель вычисления эффективного пробега .............................................</w:t>
      </w:r>
      <w:r w:rsid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14</w:t>
      </w:r>
    </w:p>
    <w:p w14:paraId="3DFBD58F" w14:textId="2637E3C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3.2 Алгоритм распределения неучтенного пробега 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15</w:t>
      </w:r>
    </w:p>
    <w:p w14:paraId="013CACB0" w14:textId="6FBC4F3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3.3 Моделирование хронологического старения полимеров 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15</w:t>
      </w:r>
    </w:p>
    <w:p w14:paraId="0FB99855" w14:textId="0D286A31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3.4 Математическая модель каскадного износа 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16</w:t>
      </w:r>
    </w:p>
    <w:p w14:paraId="5E15B7CA" w14:textId="33380787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3.5 Алгоритм экстраполяции и прогнозирования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) 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17</w:t>
      </w:r>
    </w:p>
    <w:p w14:paraId="0238AD98" w14:textId="750E19F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ГЛАВА 4 РЕАЛИЗАЦИЯ ГРАФИЧЕСКОЙ ПОДСИСТЕМЫ И ИНТЕРФЕЙСА</w:t>
      </w:r>
    </w:p>
    <w:p w14:paraId="53685CE9" w14:textId="6D076E75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4.1 Инициализация и настройка графического конвейера OpenGL 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18</w:t>
      </w:r>
    </w:p>
    <w:p w14:paraId="65C1356E" w14:textId="5125800E" w:rsidR="00490DBC" w:rsidRPr="00830D5A" w:rsidRDefault="00490DBC" w:rsidP="00490DBC">
      <w:pPr>
        <w:pStyle w:val="2"/>
        <w:spacing w:line="275" w:lineRule="auto"/>
        <w:ind w:left="72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4.2 Векторная отрисовка кузова через тригонометрические аппроксимации.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19</w:t>
      </w:r>
    </w:p>
    <w:p w14:paraId="402BA530" w14:textId="19A70851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4.3 Нормализация координат и интерактивный маппинг зон клика 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...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20</w:t>
      </w:r>
    </w:p>
    <w:p w14:paraId="656CEF50" w14:textId="46A1C986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4.4 Проектирование UI/UX 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, динамическая</w:t>
      </w:r>
    </w:p>
    <w:p w14:paraId="1F25B7D7" w14:textId="403A20A9" w:rsidR="00490DBC" w:rsidRPr="00830D5A" w:rsidRDefault="00490DBC" w:rsidP="00490DBC">
      <w:pPr>
        <w:pStyle w:val="2"/>
        <w:spacing w:line="275" w:lineRule="auto"/>
        <w:ind w:left="360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фильтрация,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) ...............................................................................................</w:t>
      </w:r>
      <w:r w:rsidR="00322B7B"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  <w:r w:rsidRPr="00830D5A">
        <w:rPr>
          <w:rFonts w:ascii="Times New Roman" w:eastAsia="Google Sans" w:hAnsi="Times New Roman" w:cs="Times New Roman"/>
          <w:color w:val="1F1F1F"/>
          <w:sz w:val="24"/>
          <w:szCs w:val="24"/>
        </w:rPr>
        <w:t>21</w:t>
      </w:r>
    </w:p>
    <w:p w14:paraId="050A7C8A" w14:textId="13C62E39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СПИСОК ИСПОЛЬЗОВАННЫХ ИСТОЧНИКОВ ...........................................................2</w:t>
      </w:r>
      <w:r w:rsidR="00830D5A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</w:t>
      </w:r>
    </w:p>
    <w:p w14:paraId="4AAB208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9D3313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643374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A7E4651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7FF333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AB137F2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BC921DE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32BBEAC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CA5452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7390A1C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F04A43A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95FB500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0A4230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37879A1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1AC309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7E3096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C347DB5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D46F39D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73F5A54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49C9C56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CCD006C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6B59BEE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3528B13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4F3A07D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07C55687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4D21C444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1669F539" w14:textId="77777777" w:rsidR="00490DBC" w:rsidRPr="00830D5A" w:rsidRDefault="00490DBC" w:rsidP="00490DBC">
      <w:pPr>
        <w:spacing w:line="360" w:lineRule="auto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528463FA" w14:textId="77777777" w:rsidR="00490DBC" w:rsidRPr="00830D5A" w:rsidRDefault="00490DBC" w:rsidP="00490D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9F7C2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7680FC3B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78F9F9D7" w14:textId="77777777" w:rsidR="00830D5A" w:rsidRPr="00830D5A" w:rsidRDefault="00830D5A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2"/>
          <w:szCs w:val="22"/>
        </w:rPr>
      </w:pPr>
    </w:p>
    <w:p w14:paraId="6107C841" w14:textId="4D596163" w:rsidR="000E5DD7" w:rsidRPr="00830D5A" w:rsidRDefault="00000000" w:rsidP="00490DBC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ВВЕДЕНИЕ</w:t>
      </w:r>
    </w:p>
    <w:p w14:paraId="029A53D6" w14:textId="3BFC5CCA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Актуальность исследования.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условиях стремительной цифровизации автомобильной индустрии и сферы технического обслуживания транспортных средств (ТО), процессы учета и прогнозирования износа узлов и агрегатов требуют перехода от классических систем класса CRUD к высокоинтеллектуальным программным комплексам. Большинство существующих на рынке решений для станций технического обслуживания (СТО) базируются на реактивном подходе: фиксация поломки происходит постфактум, что кратно увеличивает время простоя транспортного средства и финансовые издержки автовладельца. Внедрение автоматизированных рабочих мест (АРМ) с интегрированными модулями предиктивной аналитики позволяет трансформировать процесс обслуживания в проактивный. Использование аппаратного графического ускорения для визуализации технического состояния узлов автомобиля значительно снижает когнитивную нагрузку на оператора, повышая эргономику и скорость принятия диагностических решений. Таким образом, разработка современного АРМ, объединяющего сложные математические модели прогнозирования с высокопроизводительным графическим интерфейсом, является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высокоактуальной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инженерной и научно-практической задачей.</w:t>
      </w:r>
    </w:p>
    <w:p w14:paraId="758EF3A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Объектом исследования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выступает процесс технического обслуживания, диагностики и учета состояния компонентов легковых автомобилей в условиях профильных автосервисов.</w:t>
      </w:r>
    </w:p>
    <w:p w14:paraId="0825853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Предметом исследования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являются алгоритмы предиктивной аналитики износа материалов, архитектурные паттерны проектирования программного обеспечения и методы графической визуализации данных с использованием низкоуровневых спецификаций OpenGL.</w:t>
      </w:r>
    </w:p>
    <w:p w14:paraId="2274670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Цель работы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проектирование и программная реализация автоматизированного рабочего места автомеханика, обеспечивающего высокоточное прогнозирование остаточного ресурса деталей на основе математического моделирования и предоставляющего интерактивную визуализацию технического состояния посредством аппаратного графического ускорения.</w:t>
      </w:r>
    </w:p>
    <w:p w14:paraId="66A1151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достижения поставленной цели были сформулированы следующие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задачи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4CB1F661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Провести глубокий аналитический обзор предметной области, выявить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архитектурные недостатки существующих информационных систем и формализовать теоретические основы трибологического старения автокомпонентов.</w:t>
      </w:r>
    </w:p>
    <w:p w14:paraId="6245D2D5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Спроектировать программную архитектуру на базе паттерна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с применением гибридной системы управления базами данных (реляционная модель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документно-ориентированные JSON DTO).</w:t>
      </w:r>
    </w:p>
    <w:p w14:paraId="2BB62F4A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Разработать и имплементировать математическую модель предиктивной аналитики, учитывающую каскадный износ, хронологическое старение полимеров и климатические коэффициенты.</w:t>
      </w:r>
    </w:p>
    <w:p w14:paraId="0740F1AB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Интегрировать графическую подсистему на базе OpenGL для интерактивной векторной визуализации зон технического осмотра транспортного средства.</w:t>
      </w:r>
    </w:p>
    <w:p w14:paraId="6183E10B" w14:textId="77777777" w:rsidR="000E5DD7" w:rsidRPr="00830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Провести глубокий технический аудит кодовой базы, выполнить оптимизацию управления памятью (RAII, предотвращение избыточного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Copy-on-Write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настроить транзакционную целостность СУБД с применением режима WAL.</w:t>
      </w:r>
    </w:p>
    <w:p w14:paraId="1B5D5E7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Методы исследования.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ходе выполнения исследовательской работы применялись методы объектно-ориентированного проектирования (ООП), теории графов, реляционной алгебры, алгоритмического анализа с оценкой асимптотической вычислительной сложности в нотации Big O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математического моделирования физико-химических и трибологических процессов, а также методы компьютерной графики (маппинг нормализованных координат, тригонометрическая аппроксимация сплайнов).</w:t>
      </w:r>
    </w:p>
    <w:p w14:paraId="67FE5558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1. АНАЛИТИЧЕСКИЙ ОБЗОР И ПОСТАНОВКА ЗАДАЧИ</w:t>
      </w:r>
    </w:p>
    <w:p w14:paraId="231D07CF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1.1. Анализ предметной области (проблемы учета в автосервисах)</w:t>
      </w:r>
    </w:p>
    <w:p w14:paraId="2BC146D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Современные предприятия автосервисного обслуживания сталкиваются с фундаментальной проблемой информационной фрагментации. Стандартный рабочий процесс мастера-приемщика или инженера-механика сопровождается использованием гетерогенного программного обеспечения: системы каталогизации автомобильных запчастей существуют изолированно от систем управления взаимоотношениями с клиентами (CRM), а история обслуживания (Service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History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зачастую представляет собой неструктурированный текст без семантической и реляционной связности.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Это приводит к тому, что анализ технического состояния транспортного средства практически полностью перекладывается на интуицию и эмпирический опыт конкретного технического специалиста. При отсутствии консолидированной системы, способной в автоматическом режиме анализировать косвенные факторы деградации (такие как сезонность эксплуатации, температурные градиенты, качество дорожного покрытия), точность рекомендаций по превентивной замене деталей стремится к статистической погрешности.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0C6D01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Кроме того, классические системы учета перманентно страдают от проблемы «статичного пробега». В базу данных заносится исключительно абсолютное значение показаний одометра на момент визита клиента в сервисный центр. Программа не обладает алгоритмической способностью распределить этот пробег по временной шкале и оценить, какая доля километража пришлась на суровые зимние условия с холодными пусками, а какая — на щадящий трассовый режим в летний период. Отсутствие гранулярного хронологического трекинга полностью исключает возможность построения достоверных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экстраполяционных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моделей.</w:t>
      </w:r>
    </w:p>
    <w:p w14:paraId="5629C81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Наконец, эргономика большинства СТО-ориентированных пользовательских интерфейсов (например, консервативных решений на платформе «1С:Предприятие» или специализированных веб-порталов) критически перегружена многоуровневыми табличными формами. Автомеханику, чье время на дефектовку строго регламентировано нормо-часами, требуется визуально интуитивный интерфейс — цифровая мнемосхема автомобиля с цветовой дифференциацией критических зон деградации. Большинство существующих программных комплексов лишены подобного функционала, ограничиваясь текстовыми матрицами данных.</w:t>
      </w:r>
    </w:p>
    <w:p w14:paraId="1BEEDE7F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1.2. Теоретические основы износа деталей (трибология, усталость материалов, влияние климата и дорожного покрытия)</w:t>
      </w:r>
    </w:p>
    <w:p w14:paraId="35DA7F6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построения математически корректной и физически адекватной модели прогнозирования технического состояния необходимо опираться на фундаментальные законы трибологии — междисциплинарного раздела физики, изучающего процессы трения, изнашивания и смазки взаимодействующих поверхностей в относительном движении. В контексте автомобилестроения эксплуатационный износ не является линейной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скалярной функцией исключительно от пройденного расстояния. Механическая деградация деталей ходовой части, узлов кривошипно-шатунного механизма (КШМ) и трансмиссии экспоненциально ускоряется при флуктуации внешних факторов окружающей среды и профиля эксплуатации.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A57A23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Усталость материалов представляет собой процесс постепенного накопления микроскопических структурных повреждений под действием переменных (циклических) напряжений, приводящий к изменению физико-механических свойств, образованию микротрещин и, в конечном итоге, к макроскопическому разрушению. На интенсивность усталостных процессов критическое влияние оказывает температурный режим. Так, эксплуатация автомобиля в зимний период сопровождается «холодными пусками». При отрицательных температурах кинематическая вязкость моторного масла многократно возрастает, формирование гидродинамического масляного клина в подшипниках скольжения происходит с существенной временной задержкой, что приводит к переходу узла в режим граничного (полусухого) трения. Вследствие этого износ за один холодный пуск эквивалентен десяткам километров пробега в номинальном тепловом режиме. Разрабатываемая математическая модель вводит повышающий коэффициент 1.2 для зимней эксплуатации, чтобы алгоритмически компенсировать данные физические процессы.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EF7BAA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Помимо металлических сплавов, серьезному воздействию подвергаются резинотехнические изделия (шины, сайлентблоки рычагов, пыльники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ШРУСов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патрубки систем охлаждения). Они подвержены специфическому процессу — хронологическому старению (деструкции эластомеров и полимеров). Независимо от фактического пробега, под агрессивным воздействием ультрафиолетового излучения, атмосферного озона и перепадов температур происходит постепенная экстракция (испарение) пластификаторов. Эластомер теряет свои демпфирующие свойства,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стеклоуется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становится хрупким и покрывается микротрещинами. В разрабатываемой математической модели данный физический процесс строго формализован через систему штрафных коэффициентов: по истечении четырехлетнего гарантийного срока полимерных соединений начисляется прогрессирующий штраф к степени износа детали.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9BEFCB4" w14:textId="6BC381B1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1.</w:t>
      </w:r>
      <w:r w:rsidR="00322B7B" w:rsidRPr="00830D5A">
        <w:rPr>
          <w:rFonts w:ascii="Times New Roman" w:eastAsia="Google Sans" w:hAnsi="Times New Roman" w:cs="Times New Roman"/>
          <w:color w:val="1F1F1F"/>
        </w:rPr>
        <w:t>3</w:t>
      </w:r>
      <w:r w:rsidRPr="00830D5A">
        <w:rPr>
          <w:rFonts w:ascii="Times New Roman" w:eastAsia="Google Sans" w:hAnsi="Times New Roman" w:cs="Times New Roman"/>
          <w:color w:val="1F1F1F"/>
        </w:rPr>
        <w:t xml:space="preserve"> Обоснование выбора стека технологий</w:t>
      </w:r>
    </w:p>
    <w:p w14:paraId="2EF18A8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Основой для разработки вычислительного ядра и бизнес-логики был выбран язык программирования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C++17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Его применение строго обосновано высочайшими требованиями к детерминированному управлению ресурсами оперативной памяти (концепция RAII — Resource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Acquisition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бескомпромиссной вычислительной производительности при математическом моделировании. Стандарт C++17 предоставляет расширенные возможности стандартной библиотеки шаблонов (STL), семантику перемещения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Move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Semantics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поддержку сложных структур данных с гарантированным временем выполнения алгоритмов сортировки и поиска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67842ED" wp14:editId="6EAC346C">
            <wp:extent cx="983075" cy="243594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3075" cy="243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F63F829" wp14:editId="19343083">
            <wp:extent cx="771877" cy="242838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877" cy="24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что критически важно при обработке обширных массивов исторических данных автозапчастей.</w:t>
      </w:r>
    </w:p>
    <w:p w14:paraId="035CA16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качестве графического фреймворка выбран 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6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Это де-факто индустриальный стандарт для разработки надежных кроссплатформенных пользовательских интерфейсов. Мета-объектный компилятор (MOC)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предоставляет мощную подсистему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межпоточного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взаимодействия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Signals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Slots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надежные абстракции для работы с базами данных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QtSql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сетевыми протоколами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QtNetwork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Внутренняя архитектура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базируется на паттернах Наблюдатель (Observer) и Композит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Composite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что органично ложится на общую парадигму приложения.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3A9D5E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реализации графической визуализации применен API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OpenGL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(Open Graphics Library). Выбор данного интерфейса обусловлен необходимостью прямого аппаратного ускорения отрисовки зон технического осмотра. Управление графическим конвейером через абстракцию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позволяет реализовать методы сглаживания примитивов (GL_LINE_SMOOTH), математическое альфа-смешивание и векторную аппроксимацию контуров кузова без подключения тяжеловесных сторонних 3D-движков, что сохраняет бинарный размер приложения минимальным.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57EAED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СУБД 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выбрана в качестве локального персистентного хранилища из-за ее встраиваемой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embedded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бессерверной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архитектуры, отсутствия требований к конфигурации окружения (Zero-Configuration) и высочайшей скорости чтения. Внедрение режима упреждающего журналирования WAL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Write-Ahead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Logging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нивелирует традиционные недостатки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конкурентном доступе, обеспечивая транзакционную надежность ACID.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8065E5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Формат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JSON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(JavaScript Object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Notation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используется для динамической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сериализации хронологических профилей автомобилей. JSON-структуры выступают в роли объектов передачи данных (DTO — Data Transfer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обеспечивая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NoSQL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-подход для неструктурированных исторических логов. Данный формат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нативно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модулями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QJsonObject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упрощает будущую интеграцию с облачным сервером на </w:t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Python (</w:t>
      </w: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Flask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построения распределенной клиент-серверной архитектуры и сбора телеметрии для моделей машинного обучения (Machine Learning).</w:t>
      </w:r>
    </w:p>
    <w:p w14:paraId="475E5A11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2. ПРОЕКТИРОВАНИЕ АРХИТЕКТУРЫ СИСТЕМЫ</w:t>
      </w:r>
    </w:p>
    <w:p w14:paraId="09B220EF" w14:textId="46535950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2.1 Паттерн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 в контексте приложения</w:t>
      </w:r>
    </w:p>
    <w:p w14:paraId="11A633B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Архитектура разрабатываемого программного комплекса строго детерминирована классическим паттерном MVC (Model-View-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 Данная декомпозиция обеспечивает слабую связанность компонентов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Loose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Coupling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соблюдение принципа единственной ответственности (Single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Responsibility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Principle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высокую масштабируемость кодовой базы.</w:t>
      </w:r>
    </w:p>
    <w:p w14:paraId="301B950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proofErr w:type="spellStart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Controller</w:t>
      </w:r>
      <w:proofErr w:type="spellEnd"/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(Контроллер)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представлен центральным классом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наследующим функционал суперкласса QMainWindow.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Данный класс выступает в роли диспетчера бизнес-логики. Он перехватывает сигналы жизненного цикла пользовательского интерфейса (нажатия виртуальных кнопок, изменения текста в полях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осуществляет валидацию входных данных, маршрутизирует потоки выполнения и обращается к Модели для инициации транзакций расчетов (методы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calculateFinalWear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generateTimeline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()). Управление состоянием интерфейса (State Management) контроллер осуществляет с помощью конечного автомата, базирующегося на контейнере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который инкапсулирует шаги мастера ввода данных.</w:t>
      </w:r>
    </w:p>
    <w:p w14:paraId="2D301BC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Model (Модель)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физически и логически изолирована в классах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databasemanager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WearCalculator.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Эти классы не имеют зависимостей от графического интерфейса (компонентов модуля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QtWidgets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 их зону ответственности входят исключительно чистые функциональные преобразования, выполнение SQL-транзакций, фильтрация массивов данных и сложные математические исчисления трибологического износа. После завершения операций Модель возвращает Контроллеру типизированные коллекции данных, например,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QList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&lt;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PartResult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&gt;, либо логические флаги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bool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успешности авторизации.</w:t>
      </w:r>
    </w:p>
    <w:p w14:paraId="29A7A2E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lastRenderedPageBreak/>
        <w:t>View (Представление)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алгоритмически разделено на две подсистемы. Первая — это декларативный XML-интерфейс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который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генерируется компилятором пользовательских интерфейсов (UIC) в C++ код во время сборки. Вторая подсистема — это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кастомный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наследующий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и его композитный делегат mypainter.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Роль Представления исключительно пассивна: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перехватывает аппаратные прерывания от манипулятора мыши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mousePressEvent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выполняет нормализацию пиксельных координат и, посредством механизма мета-объектов, испускает сигнал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zoneClicked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паттерн реактивного программирования уведомляет Контроллер, который, в свою очередь, форсирует перерисовку экрана вызовом метода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update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</w:p>
    <w:p w14:paraId="1F203A9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2.2. Гибридная СУБД: обоснование разделения данных</w:t>
      </w:r>
    </w:p>
    <w:p w14:paraId="3273F30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хранения персистентной информации в проекте спроектирована и применена гибридная модель хранения данных, комбинирующая строгую реляционную парадигму (СУБД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документно-ориентированный подход (JSON-структуры).</w:t>
      </w:r>
    </w:p>
    <w:p w14:paraId="253EC39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databasemanager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управляет пулом соединений с локальной базой данных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cars_database.db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инкапсулирует SQL-запросы к таблицам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SavedCars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CarCatalog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CarParts.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Использование нормализованной реляционной схемы с автоинкрементными первичными ключами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INTEGER PRIMARY KEY AUTOINCREMENT) и ограничениями уникальности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TEXT UNIQUE NOT NULL) является математически оптимальным решением для обеспечения безопасности модуля авторизации и поддержания ссылочной целостности статической справочной информации о поколениях транспортных средств (поля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start_year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end_year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73E210E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Однако хронологическая история владения автомобилем, гранулярные сезонные пробеги и динамически пополняемый список замененных деталей (структура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ReplacedPart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представляют собой сложные иерархические структуры графов с переменным числом узлов. Сохранение таких слабоструктурированных данных в реляционную базу потребовало бы создания громоздкой схемы с множеством связанных таблиц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Many-to-Many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relationships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что привело бы к деградации производительности при выполнении операций SQL JOIN. В качестве инженерного компромисса применен механизм сериализации состояния сессии в формат JSON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(реализовано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saveProfileToJson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Данные JSON-файлы выступают в роли объектов переноса данных (DTO). Они обладают высокой скоростью загрузки в оперативную память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loadProfile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легко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парсятся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QJsonDocument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готовы к асинхронной отправке через REST API на удаленный сервер.</w:t>
      </w:r>
    </w:p>
    <w:p w14:paraId="42AE7B3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2.3. Изоляция данных пользователей</w:t>
      </w:r>
    </w:p>
    <w:p w14:paraId="3AB9504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Безопасность хранения и криптографическая изоляция данных на уровне локального клиента реализована через интегрированную систему авторизации и строгое разграничение доступа к виртуальной файловой системе (VFS). При инициализации приложения оператор АРМ (мастер-приемщик или автомеханик) обязан пройти процедуру аутентификации.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loginUser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 делегирует СУБД параметризованный SQL-запрос:</w:t>
      </w:r>
    </w:p>
    <w:p w14:paraId="7249C48D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130652B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74A08CFF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4E4E144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SQL</w:t>
      </w:r>
    </w:p>
    <w:p w14:paraId="246C317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SELECT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id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FROM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Users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WHERE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=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AND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password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</w:t>
      </w: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=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pass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</w:p>
    <w:p w14:paraId="65B2AE5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Использование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плейсхолдеров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последующим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биндингом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переменных через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bindValue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полностью исключает возможность проведения атак типа SQL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Injection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(внедрение вредоносного SQL-кода), обеспечивая защиту на уровне подготовленных выражений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Prepared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Statements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12D7597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После успешного прохождения проверки подлинности, в контроллере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инициализируется константная строковая переменная состояния currentUser.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строковый токен в дальнейшем используется в качестве семантического корня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Root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Namespace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для генерации изолированных локальных директорий, например,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profiles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/{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username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}/.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getSavedProfiles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currentUser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инкапсулирует вызовы к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QDir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QFileInfo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сканируя исключительно подкаталог аутентифицированного пользователя. Такой архитектурный подход (Directory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Traversal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Protection) гарантирует, что профили транспортных средств, созданные одним специалистом, физически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не могут быть ошибочно модифицированы или удалены другим пользователем, авторизованным за тем же физическим терминалом.</w:t>
      </w:r>
    </w:p>
    <w:p w14:paraId="6A8ECDA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2.4. Проектирование сетевого взаимодействия (Client-Server Architecture)</w:t>
      </w:r>
    </w:p>
    <w:p w14:paraId="0373F00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Несмотря на то, что текущая реализация является автономным Desktop-приложением (MVP), программная архитектура АРМ изначально спроектирована с учетом горизонтального масштабирования до полноценной распределенной системы (Client-Server Architecture). Для синхронизации диагностических карт, отправки телеметрии и JSON-профилей в облачную инфраструктуру (например, на Python-бэкенд с использованием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микрофреймворка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Flask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 ядро контроллера импортированы модули из библиотеки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Network: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QNetworkAccessManager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QNetworkRequest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QNetworkReply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QHttpMultiPart.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1CB57F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Класс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QNetworkAccessManager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реализует концепцию полностью асинхронного неблокирующего API.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 означает, что сетевой обмен данными осуществляется в фоновых потоках выполнения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Background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Threads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 Отправка тяжеловесных массивов диагностической телеметрии на удаленный сервер не будет блокировать главный цикл обработки событий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Event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Loop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пользовательского интерфейса. Графическая подсистема OpenGL продолжит рендеринг с частотой 60 кадров в секунду (FPS), избегая эффекта «зависания»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Freezing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UI).</w:t>
      </w:r>
    </w:p>
    <w:p w14:paraId="40FB67E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Применение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QHttpMultiPart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позволяет кодировать передаваемые бинарные файлы с MIME-типом заголовка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multipart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form-data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или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application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/octet-stream.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3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Данный протокол спецификации HTTP (RFC 7578) обеспечивает корректную инкапсуляцию, сегментирование и безопасную передачу бинарных диагностических графов и JSON-схем поверх защищенного транспортного протокола HTTPS (TLS 1.3), что гарантирует целостность данных в транзите и защиту от атак типа Man-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the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-Middle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MitM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07CD6DA6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3. МАТЕМАТИЧЕСКАЯ МОДЕЛЬ ПРЕДИКТИВНОЙ АНАЛИТИКИ</w:t>
      </w:r>
    </w:p>
    <w:p w14:paraId="6EF4284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(В данной главе представлен исчерпывающий декомпозированный анализ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WearCalculator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алгоритмы которого физически реализованы в исходном коде wearcalculator.cpp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27BA4E17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3.1. Модель вычисления эффективного пробега</w:t>
      </w:r>
    </w:p>
    <w:p w14:paraId="31528C9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Фундаментальным базисом предиктивной аналитики разрабатываемого АРМ является полный отказ от использования показаний абсолютного пробега по одометру в пользу концепции «эффективного» (или приведенного) пробега. Строгая математическая модель, реализованная 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учитывает, что износ детали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235CF7C" wp14:editId="65657CDF">
            <wp:extent cx="375317" cy="250212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17" cy="250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прохождении расстояния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745308" wp14:editId="66A2001E">
            <wp:extent cx="131375" cy="245232"/>
            <wp:effectExtent l="0" t="0" r="0" b="0"/>
            <wp:docPr id="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375" cy="245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является комплексной нелинейной функцией, зависящей от суперпозиции внешних эксплуатационных параметров.</w:t>
      </w:r>
    </w:p>
    <w:p w14:paraId="46E94F1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В конструкторе класса инициализируются константные хеш-таблицы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QMap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статических весовых коэффициентов:</w:t>
      </w:r>
    </w:p>
    <w:p w14:paraId="7F8BAF9E" w14:textId="77777777" w:rsidR="000E5DD7" w:rsidRPr="00830D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Топографические (дорожные) коэффициенты (</w:t>
      </w:r>
      <w:r w:rsidRPr="00830D5A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</w:rPr>
        <w:drawing>
          <wp:inline distT="19050" distB="19050" distL="19050" distR="19050" wp14:anchorId="6FEB712A" wp14:editId="36613DA3">
            <wp:extent cx="448379" cy="246169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379" cy="246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):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«Город» = 1.0; «Трасса» = 0.8 (крейсерский режим работы КШМ); «Грунтовые» = 1.2; «Бездорожье» = 1.6 (экстремальные ударные нагрузки на сайлентблоки); «Гараж» = 0.0 (режим консервации).</w:t>
      </w:r>
    </w:p>
    <w:p w14:paraId="2CDD3C2E" w14:textId="77777777" w:rsidR="000E5DD7" w:rsidRPr="00830D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Климатические коэффициенты (</w:t>
      </w:r>
      <w:r w:rsidRPr="00830D5A"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</w:rPr>
        <w:drawing>
          <wp:inline distT="19050" distB="19050" distL="19050" distR="19050" wp14:anchorId="4B8666EA" wp14:editId="7E26EA88">
            <wp:extent cx="590036" cy="242956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36" cy="24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):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«Лето» = 1.0 (номинальный тепловой режим); «Осень/Весна» = 1.1 (повышенная влажность и температурные градиенты); «Зима» = 1.2 (деструктивное влияние кристаллизации влаги, химических реагентов и полусухого трения при пуске).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E5A8D3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Формула интегрирования общего эффективного пробега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6006735" wp14:editId="48842336">
            <wp:extent cx="342981" cy="246243"/>
            <wp:effectExtent l="0" t="0" r="0" b="0"/>
            <wp:docPr id="3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81" cy="24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конкретной детали за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047A8FC" wp14:editId="282A8146">
            <wp:extent cx="178594" cy="250031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5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хронологических периодов (отрезок между заменами) формализуется следующим образом:</w:t>
      </w:r>
    </w:p>
    <w:p w14:paraId="32E9903D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AE16FA" wp14:editId="0EB41F4F">
            <wp:extent cx="5905500" cy="813513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F52A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Вычислительная сложность данного прохода для каждой из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F21CCCE" wp14:editId="3EBAC0AB">
            <wp:extent cx="153022" cy="252036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22" cy="252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деталей в справочном каталоге при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D7E450D" wp14:editId="102BD0E7">
            <wp:extent cx="178594" cy="250031"/>
            <wp:effectExtent l="0" t="0" r="0" b="0"/>
            <wp:docPr id="4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500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зафиксированных исторических периодах составляет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BF9E4D6" wp14:editId="3CCCEB6A">
            <wp:extent cx="878492" cy="243542"/>
            <wp:effectExtent l="0" t="0" r="0" b="0"/>
            <wp:docPr id="4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492" cy="243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Линейная асимптотическая сложность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гарантирует мгновенное выполнение расчетов даже для автомобилей с десятилетней историей обслуживания. Базовый процент трибологического износа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C701D26" wp14:editId="141AF3E7">
            <wp:extent cx="454332" cy="244640"/>
            <wp:effectExtent l="0" t="0" r="0" b="0"/>
            <wp:docPr id="4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32" cy="24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вычисляется как скалярное отношение эффективного пробега к максимальному гарантийному ресурсу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90BA820" wp14:editId="7F3DD134">
            <wp:extent cx="429842" cy="245624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842" cy="245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регламентированному заводом-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изготовителем:</w:t>
      </w:r>
    </w:p>
    <w:p w14:paraId="0F225FA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18FA238" wp14:editId="7E4EE83A">
            <wp:extent cx="5905500" cy="699018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9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C7019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3.2. Алгоритм распределения неучтенного пробега</w:t>
      </w:r>
    </w:p>
    <w:p w14:paraId="3C252E2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Специфика человеческой памяти и нерегулярность ведения сервисных книжек приводят к тому, что автовладелец редко способен ретроспективно восстановить точный пробег за каждый сезон длительной истории эксплуатации. Для устранения нулевых разрывов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Gaps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в дискретной хронологии, разработан алгоритм гомогенного распределения неучтенного пробега calculateDistributedKm.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969259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 выполняет проход по коллекции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history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вычисляет сумму всех эксплицитно введенных пользователем пробегов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42FE784" wp14:editId="2CD18E4B">
            <wp:extent cx="931394" cy="243729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1394" cy="243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инкрементирует счетчик активных пустых периодов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E4C96D4" wp14:editId="5B433D13">
            <wp:extent cx="978751" cy="242522"/>
            <wp:effectExtent l="0" t="0" r="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751" cy="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(периоды, где метрика пробега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D8AD7B2" wp14:editId="1281A0AF">
            <wp:extent cx="536458" cy="246243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58" cy="24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но атрибут дорожного покрытия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1FE04F6" wp14:editId="59110B5C">
            <wp:extent cx="1858185" cy="243127"/>
            <wp:effectExtent l="0" t="0" r="0" b="0"/>
            <wp:docPr id="5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185" cy="243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Неизвестный распределенный пробег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DEDB8E3" wp14:editId="23DACEF5">
            <wp:extent cx="362464" cy="247537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64" cy="247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каждого неразмеченного интервала вычисляется по формуле:</w:t>
      </w:r>
    </w:p>
    <w:p w14:paraId="51D35F3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C425576" wp14:editId="37D55C25">
            <wp:extent cx="5905500" cy="71107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82FD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Использование стандартной библиотечной функции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(0.0,...) является критически важным архитектурным и математическим барьером (Guard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Clause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В случае, если суммарный объем ручного ввода данных по сезонам ошибочно превысит суммарные показания одометра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F3CCDD6" wp14:editId="2AB14EC7">
            <wp:extent cx="743464" cy="244906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3464" cy="244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числитель дроби станет отрицательным. Алгоритм принудительно обнулит значение через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тем самым предотвратив появление отрицательных «восстанавливающих» пробегов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Negative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Mileage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Anomalies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которые привели бы к регенерации (отрицательному износу) деталей, ломая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консистентность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всей физической модели.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04F74A4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3.3. Моделирование хронологического старения полимеров</w:t>
      </w:r>
    </w:p>
    <w:p w14:paraId="733A79E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Ряд автомобильных компаундов (резиновые шины, приводные ремни газораспределительного механизма, патрубки контуров охлаждения,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эластомеры сайлентблоков) подвержены естественной физико-химической деструкции (хронологическому старению) вне зависимости от кинетической эксплуатации.</w:t>
      </w:r>
    </w:p>
    <w:p w14:paraId="2562F02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calculate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имплементирован блок строкового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парсинга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: система проверяет семантическое наименование детали на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подстроковое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вхождение ключевых лексем ("Ремень", "Шина", "Сайлентблок", "Патрубок", "Масло", "Антифриз").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Для идентифицированных элементов вычисляется абсолютный хронологический возраст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F27FF6F" wp14:editId="6C7F28AD">
            <wp:extent cx="2480691" cy="24286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691" cy="242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В случае, если возраст достигает или превышает эмпирически обоснованный предел в 5 лет (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5486FA7" wp14:editId="26F04EC8">
            <wp:extent cx="679738" cy="244009"/>
            <wp:effectExtent l="0" t="0" r="0" b="0"/>
            <wp:docPr id="2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738" cy="244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вступает в действие математическая модель штрафной деградации полимеров. Модель инкрементирует процент износа на величину 15% за каждый полный год, превышающий четырехлетний порог безопасного хранения:</w:t>
      </w:r>
    </w:p>
    <w:p w14:paraId="5FA3D73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C0B24D2" wp14:editId="02908826">
            <wp:extent cx="5905500" cy="518238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44B0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DC3D705" wp14:editId="5D1CC404">
            <wp:extent cx="5905500" cy="518238"/>
            <wp:effectExtent l="0" t="0" r="0" b="0"/>
            <wp:docPr id="2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EEA3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Эта формула гарантирует, что даже автомобиль с минимальным эффективным пробегом, простоявший 10 лет в гараже, получит предписание на замену потенциально опасных высохших ремней и растрескавшихся шин (штраф составит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398BF45" wp14:editId="05EE908A">
            <wp:extent cx="1741427" cy="233923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427" cy="233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41AB1871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3.4. Математическая модель каскадного износа</w:t>
      </w:r>
    </w:p>
    <w:p w14:paraId="5BD57B3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Фундаментальной инновацией данного аналитического ядра является имплементация алгоритма каскадного (взаимосвязанного) износа компонентов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Cascading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Failure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Model). Эксплуатация транспортного средства с изношенной демпфирующей подвеской генерирует нерасчетные высокоамплитудные динамические вибрации и кинетические удары, передающиеся на смежные сопряженные узлы.</w:t>
      </w:r>
    </w:p>
    <w:p w14:paraId="27E4065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Алгоритм, описанный в wearcalculator.cpp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в первую очередь аккумулирует средний арифметический процент износа критических демпфирующих узлов подвески (фильтруются детали, содержащие в номенклатуре маркеры "Амортизатор", "Рычаг", "Стойка").</w:t>
      </w:r>
    </w:p>
    <w:p w14:paraId="71D3A432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Если вычисленный средний износ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C2BA2C6" wp14:editId="211058F4">
            <wp:extent cx="1498159" cy="235176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159" cy="235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в программном контуре срабатывает триггер каскадного резонансного разрушения. К уязвимым смежным узлам (рулевым наконечникам — "Рулевая", ступичным подшипникам — "Подшипник", тормозным механизмам — "Колодки" и покрышкам — "Шина") применяется повышающий мультипликатор ускоренной деградации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B314603" wp14:editId="7C578B7F">
            <wp:extent cx="1151249" cy="242368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249" cy="242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5F4F10A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58F7FFF" wp14:editId="2D2E3307">
            <wp:extent cx="5905500" cy="518238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E54C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Ограничение результатов функцией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(в C++ реализуется через &lt;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algorithm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&gt;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std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верхним порогом в 100.0% является логически необходимым шагом, поскольку износ не может физически превышать состояние тотального механического разрушения детали (100%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loss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functionality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D47DB32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3.5. Алгоритм экстраполяции и прогнозирования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</w:t>
      </w:r>
    </w:p>
    <w:p w14:paraId="38B0D2E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predictService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завершает цикл предиктивной аналитики, конвертируя абстрактные проценты вычисленного износа в детерминированные временные и метрические метки, понятные конечному пользователю.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729885B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Алгоритм выполняет сортировку коллекции деталей (аналогично алгоритмам логарифмической сложности O(N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log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N), рассмотренным в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по убыванию процента износа. Затем применяется фильтрация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Filtering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): в обработку попадают исключительно те узлы, износ которых вошел в зону повышенного риска (от 60% включительно до строго менее 100%).</w:t>
      </w:r>
    </w:p>
    <w:p w14:paraId="604DCEF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качестве базы для линейной экстраполяции используется заявленный оператором усредненный суточный пробег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06861C4" wp14:editId="1F7B8E52">
            <wp:extent cx="478686" cy="243694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86" cy="243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Для защиты от деления на ноль, если входное значение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20FABC4" wp14:editId="0E3D5F17">
            <wp:extent cx="837903" cy="244388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7903" cy="24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система автоматически применяет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fallback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-константу, равную 40.0 км/день.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Система вычисляет остаточный ресурсный километраж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375A382" wp14:editId="330EAE3C">
            <wp:extent cx="376129" cy="250753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129" cy="250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количество суток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53EFEE0" wp14:editId="6CC4B15D">
            <wp:extent cx="399536" cy="243196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36" cy="243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до полного исчерпания ресурса:</w:t>
      </w:r>
    </w:p>
    <w:p w14:paraId="2409905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0D51C65" wp14:editId="1AAF1FD7">
            <wp:extent cx="5905500" cy="699018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9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3B67F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lastRenderedPageBreak/>
        <w:drawing>
          <wp:inline distT="19050" distB="19050" distL="19050" distR="19050" wp14:anchorId="4B654A14" wp14:editId="07D7CC58">
            <wp:extent cx="5905500" cy="686966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6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CEBE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Сгенерированные данные инкапсулируются в объекты передачи данных (структура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PredictionData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полями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partName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wearPercent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remainingKm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daysLeft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маршрутизируются контроллером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osnova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 графическое Представление. Это позволяет автомеханику математически аргументированно планировать календарную запись клиента на следующее техническое обслуживание.</w:t>
      </w:r>
    </w:p>
    <w:p w14:paraId="69E28E26" w14:textId="77777777" w:rsidR="000E5DD7" w:rsidRPr="00830D5A" w:rsidRDefault="00000000">
      <w:pPr>
        <w:pStyle w:val="2"/>
        <w:spacing w:before="0" w:after="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ГЛАВА 4. РЕАЛИЗАЦИЯ ГРАФИЧЕСКОЙ ПОДСИСТЕМЫ И ИНТЕРФЕЙСА</w:t>
      </w:r>
    </w:p>
    <w:p w14:paraId="33743F77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4.1. Инициализация и настройка графического конвейера OpenGL</w:t>
      </w:r>
    </w:p>
    <w:p w14:paraId="0DB3952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Визуализация технического состояния автомобиля и обеспечение интерактивности реализованы в пользовательском классе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наследующем функционал классов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(интеграция OpenGL-контекста в дерево виджетов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(предоставление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платформонезависимого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доступа к API OpenGL).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Инициализация машины состояний OpenGL происходит в единожды вызываемом переопределенном виртуальном методе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initializeGL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D6D68E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Функция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initializeOpenGLFunctions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загружает указатели на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платформозависимые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функции графического драйвера, обеспечивая кроссплатформенность компиляции без необходимости линковки сторонних громоздких библиотек-загрузчиков (таких как GLEW или GLAD).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95E7C87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28DBFE44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1AB64B86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5E7C1ED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  <w:t>C++</w:t>
      </w:r>
    </w:p>
    <w:p w14:paraId="5AB7B256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void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FFDB0F"/>
          <w:sz w:val="28"/>
          <w:szCs w:val="28"/>
          <w:shd w:val="clear" w:color="auto" w:fill="141414"/>
          <w:lang w:val="en-US"/>
        </w:rPr>
        <w:t>initializeGL</w:t>
      </w:r>
      <w:proofErr w:type="spellEnd"/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  <w:lang w:val="en-US"/>
        </w:rPr>
        <w:t>()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{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initializeOpenGLFunctions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glClearColor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0.12f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0.12f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0.15f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,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1.0f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(GL_BLEND);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glBlendFunc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(GL_SRC_ALPHA, GL_ONE_MINUS_SRC_ALPHA);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lastRenderedPageBreak/>
        <w:t xml:space="preserve">   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(GL_LINE_SMOOTH);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>}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</w:p>
    <w:p w14:paraId="544168B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glClearColor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устанавливает цвет очистки кадрового буфера (Frame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Buffer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в темный серо-синий (графитовый) оттенок (0.12f, 0.12f, 0.15f, 1.0f), снижающий утомляемость глаз оператора. Для предотвращения артефакта визуального ступенчатого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алиасинга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(«эффекта лесенки») на наклонных контурах векторной графики кузова форсированно активируется сглаживание линий вызовом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glEnable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(GL_LINE_SMOOTH).</w:t>
      </w:r>
    </w:p>
    <w:p w14:paraId="6C5B9F74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Поддержка сложных оптических эффектов полупрозрачности (например, тонировка автомобильных стекол и диффузные световые блики на хромированных колесных дисках) достигается путем включения альфа-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блендинга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Установленная функция смешивания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glBlendFunc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(GL_SRC_ALPHA, GL_ONE_MINUS_SRC_ALPHA) реализует классическое уравнение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композитинга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: финальный цвет пикселя в буфере кадра рассчитывается по математической формуле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CC6EEBB" wp14:editId="76C186EC">
            <wp:extent cx="2869406" cy="242729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406" cy="242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где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96209D6" wp14:editId="41204B8E">
            <wp:extent cx="126098" cy="252195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98" cy="25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коэффициент непрозрачности (альфа-канал)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рендеримого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примитива, 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EFF6752" wp14:editId="772B7B5E">
            <wp:extent cx="335134" cy="246941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34" cy="24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— цвет ранее отрисованного фона.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20116F6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4.2. Векторная отрисовка кузова через тригонометрические аппроксимации</w:t>
      </w:r>
    </w:p>
    <w:p w14:paraId="4EDA8B8C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В классе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mypainter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процедура рендеринга сложной автомобильной геометрии выполняется в режиме немедленного вывода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Immediate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 (посредством команд, инкапсулированных между вызовами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glBegin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glEnd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Несмотря на то, что в современной парадигме графики (Core Profile) данный подход помечен как устаревший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deprecated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его использование в рамках создания MVP-версии продукта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Minimum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Viable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Product) математически и архитектурно обосновано.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Immediate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Mode исключает накладные расходы на проектирование структур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Vertex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Buffer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(VBO), генерацию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Vertex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Array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Objects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(VAO) и компиляцию GLSL-шейдеров, обеспечивая радикальное сокращение времени разработки прототипов 2D-векторной геометрии без потери требуемой частоты обновления кадров.</w:t>
      </w:r>
    </w:p>
    <w:p w14:paraId="31284BD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Круглые радиальные элементы (арки колес, резиновые покрышки, колесные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диски, крепежные гайки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спекулярные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блики)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отрисовываются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унифицированной функцией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drawCircle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использующей графический примитив GL_TRIANGLE_FAN.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Координаты вершин веера вычисляются путем решения системы параметрических уравнений окружности:</w:t>
      </w:r>
    </w:p>
    <w:p w14:paraId="71F1F94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A28C965" wp14:editId="69C31875">
            <wp:extent cx="5905500" cy="518238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4FCE5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7C8E2880" wp14:editId="74B4BB32">
            <wp:extent cx="5905500" cy="51823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6D0C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где шаг инкрементации угла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47E6160" wp14:editId="0F6A9597">
            <wp:extent cx="97280" cy="24762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280" cy="247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строго квантуется как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6F9830C" wp14:editId="2D2517E3">
            <wp:extent cx="1337558" cy="286619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7558" cy="286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Использование математических функций стандартной библиотеки языка C++ &lt;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cmath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&gt;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cosf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sinf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гарантирует выполнение вычислений с одинарной плавающей точностью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Это критически важно, поскольку графические процессоры (GPU) архитектурно оптимизированы именно под арифметику 32-битных чисел с плавающей запятой (FP32), и использование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double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привело бы к неявному сужению типов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implicit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downcasting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 и микро-задержкам.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Блики света на колесах создаются путем смещения центра координат окружности относительно физической оси колеса (например, центры бликов x = -0.38f, y = -0.19f смещены вверх и вправо относительно оси диска x = -0.41f, y = -0.22f).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5BD5532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создания обтекаемого аэродинамического контура задней части автомобильной крыши и заднего лобового стекла применена сложная нелинейная синусоидальная аппроксимация. Параметрический шаг интерполяции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3121F9C" wp14:editId="6953435D">
            <wp:extent cx="70761" cy="28304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61" cy="283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циклически изменяется от 0.0 до 1.0 с шагом 0.1.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1E4546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4F873E66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1271AB5F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</w:p>
    <w:p w14:paraId="2DC80699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C++</w:t>
      </w:r>
    </w:p>
    <w:p w14:paraId="6DB1E01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  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for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(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t 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; t &lt;=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1.0f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; t +=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0.1f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) {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x =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-0.45f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+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0.26f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* t;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</w:t>
      </w:r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  <w:lang w:val="en-US"/>
        </w:rPr>
        <w:t>float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y = 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0.08f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+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0.27f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 * </w:t>
      </w:r>
      <w:r w:rsidRPr="00830D5A">
        <w:rPr>
          <w:rFonts w:ascii="Times New Roman" w:eastAsia="Google Sans" w:hAnsi="Times New Roman" w:cs="Times New Roman"/>
          <w:color w:val="FF5A59"/>
          <w:sz w:val="28"/>
          <w:szCs w:val="28"/>
          <w:shd w:val="clear" w:color="auto" w:fill="141414"/>
          <w:lang w:val="en-US"/>
        </w:rPr>
        <w:t>sin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 xml:space="preserve">(t * </w:t>
      </w:r>
      <w:r w:rsidRPr="00830D5A">
        <w:rPr>
          <w:rFonts w:ascii="Times New Roman" w:eastAsia="Google Sans" w:hAnsi="Times New Roman" w:cs="Times New Roman"/>
          <w:color w:val="FF96DA"/>
          <w:sz w:val="28"/>
          <w:szCs w:val="28"/>
          <w:shd w:val="clear" w:color="auto" w:fill="141414"/>
          <w:lang w:val="en-US"/>
        </w:rPr>
        <w:t>1.5708f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t>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  <w:t xml:space="preserve">        glVertex2f(x, y);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lastRenderedPageBreak/>
        <w:t xml:space="preserve">    }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  <w:lang w:val="en-US"/>
        </w:rPr>
        <w:br/>
      </w:r>
    </w:p>
    <w:p w14:paraId="5BEDC6C3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Абсцисса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A4C409F" wp14:editId="1A57EB95">
            <wp:extent cx="177512" cy="24851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512" cy="248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рассчитывается методом линейной интерполяции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Lerp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 то время как ордината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9F5621C" wp14:editId="15C1A1BE">
            <wp:extent cx="157352" cy="244770"/>
            <wp:effectExtent l="0" t="0" r="0" b="0"/>
            <wp:docPr id="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2" cy="24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использует тригонометрическую функцию. Использование константы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066BA22" wp14:editId="3FFF8876">
            <wp:extent cx="544170" cy="236977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70" cy="23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является математически выверенным решением: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922F61A" wp14:editId="5D48181D">
            <wp:extent cx="544170" cy="236977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70" cy="23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радиан является приближенным значением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1D1F41E" wp14:editId="5E8EE5BC">
            <wp:extent cx="129887" cy="233796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887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(90 градусов).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При умножении нормализованного интерполятора $t \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in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$ на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2B103809" wp14:editId="284289D6">
            <wp:extent cx="129887" cy="233796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887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, аргумент функции синуса изменяется в пределах первой четверти тригонометрического круга. Значение функции плавно, без изломов производной, нелинейно возрастает от 0 до 1, формируя элегантную выпуклую четверть-волну, которая идеально аппроксимирует штамповку кузовного металла автомобильной крыши.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4BEF17E8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>4.3. Нормализация координат и интерактивный маппинг зон клика</w:t>
      </w:r>
    </w:p>
    <w:p w14:paraId="2E74FCCB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обеспечения глубокой интерактивности, переопределенный 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mousePressEvent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MyGLWidget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аппаратно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перехватывает низкоуровневые прерывания кликов мыши. Для фильтрации учитываются исключительно нажатия левой кнопки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button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==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LeftButton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5912C598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Поскольку графическое окно приложения может произвольно изменять свои геометрические размеры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resizing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абсолютные пиксельные координаты курсора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pos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().x()) математически бесполезны. Алгоритм выполняет нормализацию координат: абсолютные значения делятся на текущую ширину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width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и высоту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height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виджета. В результате формируется вектор в единичном квадрате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1BAEA50B" wp14:editId="15FE69B8">
            <wp:extent cx="3078032" cy="242774"/>
            <wp:effectExtent l="0" t="0" r="0" b="0"/>
            <wp:docPr id="3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8032" cy="242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</w:p>
    <w:p w14:paraId="40334DDB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0B3EAB25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before="390" w:after="480"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7E386315" w14:textId="77777777" w:rsidR="000E5DD7" w:rsidRPr="00830D5A" w:rsidRDefault="000E5D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543E291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</w:pPr>
      <w:r w:rsidRPr="00830D5A">
        <w:rPr>
          <w:rFonts w:ascii="Times New Roman" w:eastAsia="Google Sans" w:hAnsi="Times New Roman" w:cs="Times New Roman"/>
          <w:color w:val="FFFFFF"/>
          <w:sz w:val="28"/>
          <w:szCs w:val="28"/>
          <w:shd w:val="clear" w:color="auto" w:fill="141414"/>
        </w:rPr>
        <w:t>C++</w:t>
      </w:r>
    </w:p>
    <w:p w14:paraId="6FBC53E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</w:pP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x = (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)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pos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().x() /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width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 y = (</w:t>
      </w:r>
      <w:proofErr w:type="spellStart"/>
      <w:r w:rsidRPr="00830D5A">
        <w:rPr>
          <w:rFonts w:ascii="Times New Roman" w:eastAsia="Google Sans" w:hAnsi="Times New Roman" w:cs="Times New Roman"/>
          <w:color w:val="969DFF"/>
          <w:sz w:val="28"/>
          <w:szCs w:val="28"/>
          <w:shd w:val="clear" w:color="auto" w:fill="141414"/>
        </w:rPr>
        <w:t>float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)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event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pos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 xml:space="preserve">().y() /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height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t>();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  <w:shd w:val="clear" w:color="auto" w:fill="141414"/>
        </w:rPr>
        <w:br/>
      </w:r>
    </w:p>
    <w:p w14:paraId="26EC270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Далее применяется алгоритм обнаружения пересечений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Axis-Aligned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Bounding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Box (AABB) для детекции зоны попадания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Hitboxing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Вся площадь проекции автомобиля математически разбита на непересекающиеся полигоны. Например, сектор «Ходовая часть» идентифицируется истинностью предиката: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C2A7FB3" wp14:editId="6571D748">
            <wp:extent cx="2588523" cy="242404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8523" cy="242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4CA2FF0E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При регистрации изменения целевой зоны относительно предыдущего клика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!=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lastZone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виджет, используя мета-объектную систему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испускает пользовательский сигнал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emit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zoneClicked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 вызывает функцию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update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Этот вызов помечает область окна как грязную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dirty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region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что асинхронно форсирует графический конвейер OpenGL заново выполнить цикл рендеринга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paintGL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(). В процессе отрисовки лямбда-выражение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setColor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mypainter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(на базе замыкания) проверяет текущую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selectedZone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 динамически перекрашивает активную подсистему в акцентный сигнальный цвет — желтый (1.0f, 0.8f, 0.0f).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241F940E" w14:textId="77777777" w:rsidR="000E5DD7" w:rsidRPr="00830D5A" w:rsidRDefault="00000000">
      <w:pPr>
        <w:pStyle w:val="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830D5A">
        <w:rPr>
          <w:rFonts w:ascii="Times New Roman" w:eastAsia="Google Sans" w:hAnsi="Times New Roman" w:cs="Times New Roman"/>
          <w:color w:val="1F1F1F"/>
        </w:rPr>
        <w:t xml:space="preserve">4.4. Проектирование UI/UX в 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 xml:space="preserve">, динамическая фильтрация, </w:t>
      </w:r>
      <w:proofErr w:type="spellStart"/>
      <w:r w:rsidRPr="00830D5A">
        <w:rPr>
          <w:rFonts w:ascii="Times New Roman" w:eastAsia="Google Sans" w:hAnsi="Times New Roman" w:cs="Times New Roman"/>
          <w:color w:val="1F1F1F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</w:rPr>
        <w:t>)</w:t>
      </w:r>
    </w:p>
    <w:p w14:paraId="6A7F9A00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Архитектура графического пользовательского интерфейса (GUI) построена на базе компонента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QStackedWidget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. Этот контейнер реализует строгий паттерн программного конечного автомата (State Machine), который в каждый квант времени отображает пользователю строго один активный слой (индекс страницы).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Данное решение позволяет организовать сложный, разветвленный рабочий процесс в виде линейного пошагового мастера настройки (Wizard Interface). Оператор-механик последовательно проводится через этапы: (0) Главное меню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5B5CDC84" wp14:editId="14849B5B">
            <wp:extent cx="195912" cy="229984"/>
            <wp:effectExtent l="0" t="0" r="0" b="0"/>
            <wp:docPr id="4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(1) Выбор транспортного средства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3E48BF03" wp14:editId="07D49E79">
            <wp:extent cx="195912" cy="229984"/>
            <wp:effectExtent l="0" t="0" r="0" b="0"/>
            <wp:docPr id="4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(2) Ввод параметров сезонности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02D04D45" wp14:editId="0C310438">
            <wp:extent cx="195912" cy="229984"/>
            <wp:effectExtent l="0" t="0" r="0" b="0"/>
            <wp:docPr id="4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(3) Регистрация замененных деталей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4F7B9C01" wp14:editId="541CC405">
            <wp:extent cx="195912" cy="229984"/>
            <wp:effectExtent l="0" t="0" r="0" b="0"/>
            <wp:docPr id="4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(4) Итоговый аналитический отчет с 3D-мнемосхемой.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3C43E5B1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Для обеспечения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консистентности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базы данных и защиты от ввода некорректных или нерелевантных параметров (например, опечаток в названиях марок), реализована жесткая динамическая фильтрация элементов управления. Компоненты класса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интегрированы в текстовые поля ввода марок и моделей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makeInput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ui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-&gt;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modelInput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QCompleter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функционирует как предиктивный поисковый индекс: при вводе каждого нового символа он асинхронно обращается к загруженному из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SQLite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 xml:space="preserve">словарю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dbManager.getCarModels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() и предлагает релевантные варианты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автодополнения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(Auto-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complete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</w:p>
    <w:p w14:paraId="13CF7C2A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Событийная модель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Qt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Signals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and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Slots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 используется для каскадного управления доступностью полей (State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Toggling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). Кнопки перехода на следующий этап агрессивно блокируются (метод 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setEnabled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false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)) до тех пор, пока система не верифицирует полноту и достоверность введенного графа данных (марка, модель, производственный год, совокупный пробег).</w:t>
      </w:r>
      <w:r w:rsidRPr="00830D5A">
        <w:rPr>
          <w:rFonts w:ascii="Times New Roman" w:eastAsia="Google Sans" w:hAnsi="Times New Roman" w:cs="Times New Roman"/>
          <w:color w:val="444746"/>
          <w:sz w:val="28"/>
          <w:szCs w:val="28"/>
          <w:vertAlign w:val="superscript"/>
        </w:rPr>
        <w:t>1</w:t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Если суммарный сезонный пробег, введенный пользователем, превышает общий пробег по одометру более чем на </w:t>
      </w:r>
      <w:r w:rsidRPr="00830D5A">
        <w:rPr>
          <w:rFonts w:ascii="Times New Roman" w:eastAsia="Google Sans" w:hAnsi="Times New Roman" w:cs="Times New Roman"/>
          <w:noProof/>
          <w:color w:val="1F1F1F"/>
          <w:sz w:val="28"/>
          <w:szCs w:val="28"/>
        </w:rPr>
        <w:drawing>
          <wp:inline distT="19050" distB="19050" distL="19050" distR="19050" wp14:anchorId="6E98D36C" wp14:editId="77F3CDBE">
            <wp:extent cx="250437" cy="241493"/>
            <wp:effectExtent l="0" t="0" r="0" b="0"/>
            <wp:docPr id="5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7" cy="241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км, программа немедленно прерывает исполнение мастера и выводит модальное окно ошибки (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QMessageBox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warning</w:t>
      </w:r>
      <w:proofErr w:type="spellEnd"/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), предотвращая порчу математической модели износа.</w:t>
      </w:r>
    </w:p>
    <w:p w14:paraId="19DB07F7" w14:textId="77777777" w:rsidR="000E5DD7" w:rsidRPr="00830D5A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color w:val="1F1F1F"/>
          <w:sz w:val="28"/>
          <w:szCs w:val="28"/>
        </w:rPr>
        <w:t>[ОЖИДАЮ КОМАНДЫ ПРОДОЛЖИТЬ]</w:t>
      </w:r>
    </w:p>
    <w:p w14:paraId="1E06BDF8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6371A4C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7AAF8D2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48E23550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691D45EF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4AE7269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09B7227F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DFABD9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2104E99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15C62BE7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7F8EC2FE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5CEEA9F6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1F368643" w14:textId="77777777" w:rsid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</w:p>
    <w:p w14:paraId="02CD44C2" w14:textId="4AFB213A" w:rsidR="000E5DD7" w:rsidRPr="00830D5A" w:rsidRDefault="00830D5A" w:rsidP="00830D5A">
      <w:pPr>
        <w:pStyle w:val="4"/>
        <w:spacing w:before="0"/>
        <w:jc w:val="center"/>
        <w:rPr>
          <w:rFonts w:ascii="Times New Roman" w:eastAsia="Google Sans" w:hAnsi="Times New Roman" w:cs="Times New Roman"/>
          <w:sz w:val="28"/>
          <w:szCs w:val="28"/>
        </w:rPr>
      </w:pPr>
      <w:r w:rsidRPr="00830D5A">
        <w:rPr>
          <w:rFonts w:ascii="Times New Roman" w:eastAsia="Google Sans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2CBF69AA" w14:textId="3BD5A85A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Шлеер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М.</w:t>
      </w:r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6. Разработка оконных приложений на C++ / М.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Шлеер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— Санкт-Петербург : БХВ-Петербург, 2022. — 704 c. — ISBN 978-5-9775-6851-7. </w:t>
      </w:r>
    </w:p>
    <w:p w14:paraId="46455DEC" w14:textId="1B76E902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Страуструп, Б.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Программирование: принципы и практика с использованием C++ / Б. Страуструп ; перевод с английского Д. А. Клюшина. — 2-е изд. — Москва : Диалектика, 2020. — 1328 с. — ISBN 978-5-907144-46-0</w:t>
      </w:r>
    </w:p>
    <w:p w14:paraId="6E31054B" w14:textId="243EE228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SQL :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 электронный ресурс. — URL: </w:t>
      </w:r>
      <w:hyperlink r:id="rId56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https://doc.qt.io/qt-6/qtsql-index.html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69A4F0ED" w14:textId="0EA84822" w:rsidR="00F20AE9" w:rsidRPr="00F20AE9" w:rsidRDefault="00F20AE9" w:rsidP="00F20A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sz w:val="28"/>
          <w:szCs w:val="28"/>
        </w:rPr>
        <w:t xml:space="preserve">JSON Support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 электронный ресурс. — URL: </w:t>
      </w:r>
      <w:hyperlink r:id="rId57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https://doc.qt.io/qt-6/json.html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7288B31D" w14:textId="5DA1D395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Уорсли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Р.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Практическое руководство по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 Р.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Уорсли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, Д. Дрейк ; перевод с английского под редакцией А. А. Орлова. — Москва : Вильямс, 2007. — 480 с. — ISBN 978-5-8459-1147-6. </w:t>
      </w:r>
    </w:p>
    <w:p w14:paraId="014C55DA" w14:textId="68E4061C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sz w:val="28"/>
          <w:szCs w:val="28"/>
        </w:rPr>
        <w:t>Write-Ahead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58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https://sqlite.org/wal.html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— Режим доступа: для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зарегистрир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>. пользователей..</w:t>
      </w:r>
    </w:p>
    <w:p w14:paraId="6886387A" w14:textId="0ECB3E23" w:rsidR="00F20AE9" w:rsidRPr="00F20AE9" w:rsidRDefault="00F20AE9" w:rsidP="00F20A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20AE9">
        <w:rPr>
          <w:rFonts w:ascii="Times New Roman" w:hAnsi="Times New Roman" w:cs="Times New Roman"/>
          <w:i/>
          <w:iCs/>
          <w:sz w:val="28"/>
          <w:szCs w:val="28"/>
        </w:rPr>
        <w:t>Крайон</w:t>
      </w:r>
      <w:proofErr w:type="spellEnd"/>
      <w:r w:rsidRPr="00F20AE9">
        <w:rPr>
          <w:rFonts w:ascii="Times New Roman" w:hAnsi="Times New Roman" w:cs="Times New Roman"/>
          <w:i/>
          <w:iCs/>
          <w:sz w:val="28"/>
          <w:szCs w:val="28"/>
        </w:rPr>
        <w:t>, М.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в высоконагруженных локальных приложениях / М.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Крайон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// Системный администратор : электронный журнал. — 2023. — № 4. — С. 14–19. — URL: </w:t>
      </w:r>
      <w:hyperlink r:id="rId59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http://samag.ru/archive/article/4820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072ADCE3" w14:textId="286D684D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Гаркунов, Д. Н.</w:t>
      </w:r>
      <w:r w:rsidRPr="00F20A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Триботехника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 (износ и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безызносность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) : учебник для вузов / Д. Н. Гаркунов. — 4-е изд.,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и доп. — Москва : Издательство МСХА, 2001. — 616 с. — ISBN 5-7230-0104-5. </w:t>
      </w:r>
    </w:p>
    <w:p w14:paraId="126892B6" w14:textId="08472778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Зорин, В. А.</w:t>
      </w:r>
      <w:r w:rsidRPr="00F20AE9">
        <w:rPr>
          <w:rFonts w:ascii="Times New Roman" w:hAnsi="Times New Roman" w:cs="Times New Roman"/>
          <w:sz w:val="28"/>
          <w:szCs w:val="28"/>
        </w:rPr>
        <w:t xml:space="preserve"> Основы работоспособности технических систем : учебник для вузов / В. А. Зорин. — 2-е изд., стер. — Санкт-Петербург : Лань, 2021. — 736 с. — ISBN 978-5-8114-6901-7. </w:t>
      </w:r>
    </w:p>
    <w:p w14:paraId="50D11258" w14:textId="13DB42E4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i/>
          <w:iCs/>
          <w:sz w:val="28"/>
          <w:szCs w:val="28"/>
        </w:rPr>
        <w:t>Кузнецов, Е. С.</w:t>
      </w:r>
      <w:r w:rsidRPr="00F20AE9">
        <w:rPr>
          <w:rFonts w:ascii="Times New Roman" w:hAnsi="Times New Roman" w:cs="Times New Roman"/>
          <w:sz w:val="28"/>
          <w:szCs w:val="28"/>
        </w:rPr>
        <w:t xml:space="preserve"> Техническая эксплуатация автомобилей : учебник для вузов / Е. С. Кузнецов, А. П. Болдин, В. М. Власов. — 4-е изд., </w:t>
      </w:r>
      <w:proofErr w:type="spellStart"/>
      <w:r w:rsidRPr="00F20AE9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F20AE9">
        <w:rPr>
          <w:rFonts w:ascii="Times New Roman" w:hAnsi="Times New Roman" w:cs="Times New Roman"/>
          <w:sz w:val="28"/>
          <w:szCs w:val="28"/>
        </w:rPr>
        <w:t xml:space="preserve">. и доп. — Москва : Наука, 2004. — 535 с. </w:t>
      </w:r>
    </w:p>
    <w:p w14:paraId="7FB99A6F" w14:textId="2175348A" w:rsidR="00F20AE9" w:rsidRPr="00F20AE9" w:rsidRDefault="00F20AE9" w:rsidP="00F20A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20AE9">
        <w:rPr>
          <w:rFonts w:ascii="Times New Roman" w:hAnsi="Times New Roman" w:cs="Times New Roman"/>
          <w:sz w:val="28"/>
          <w:szCs w:val="28"/>
        </w:rPr>
        <w:t xml:space="preserve">Методика оценки остаточного ресурса узлов и агрегатов автотранспортных средств по параметрам износа // Министерство транспорта Российской Федерации : официальный сайт. — URL: </w:t>
      </w:r>
      <w:hyperlink r:id="rId60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</w:rPr>
          <w:t>https://mintrans.gov.ru/documents</w:t>
        </w:r>
      </w:hyperlink>
      <w:r w:rsidRPr="00F20AE9">
        <w:rPr>
          <w:rFonts w:ascii="Times New Roman" w:hAnsi="Times New Roman" w:cs="Times New Roman"/>
          <w:sz w:val="28"/>
          <w:szCs w:val="28"/>
        </w:rPr>
        <w:t xml:space="preserve"> (дата обращения: 24.05.2026). </w:t>
      </w:r>
    </w:p>
    <w:p w14:paraId="127098CB" w14:textId="3652CC52" w:rsidR="00F20AE9" w:rsidRPr="00F20AE9" w:rsidRDefault="00F20AE9" w:rsidP="00F20A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Uploading chunk of file to server with post request. Qt6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QNetworkAccessManager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post. Data not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arrieved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F20AE9">
        <w:rPr>
          <w:rFonts w:ascii="Times New Roman" w:hAnsi="Times New Roman" w:cs="Times New Roman"/>
          <w:sz w:val="28"/>
          <w:szCs w:val="28"/>
        </w:rPr>
        <w:t>электронный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ресурс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lastRenderedPageBreak/>
        <w:t>Stack Overflow : [</w:t>
      </w:r>
      <w:r w:rsidRPr="00F20AE9">
        <w:rPr>
          <w:rFonts w:ascii="Times New Roman" w:hAnsi="Times New Roman" w:cs="Times New Roman"/>
          <w:sz w:val="28"/>
          <w:szCs w:val="28"/>
        </w:rPr>
        <w:t>сайт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]. — URL: </w:t>
      </w:r>
      <w:hyperlink r:id="rId61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https://stackoverflow.com/questions/72270357/uploading-chunk-of-file-to-server-with-post-request-qt6-qnetworkaccessmanager-p</w:t>
        </w:r>
      </w:hyperlink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20AE9">
        <w:rPr>
          <w:rFonts w:ascii="Times New Roman" w:hAnsi="Times New Roman" w:cs="Times New Roman"/>
          <w:sz w:val="28"/>
          <w:szCs w:val="28"/>
        </w:rPr>
        <w:t>дата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обращения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: 24.05.2026). </w:t>
      </w:r>
    </w:p>
    <w:p w14:paraId="04A25BA6" w14:textId="7CD2995F" w:rsidR="00F20AE9" w:rsidRPr="00F20AE9" w:rsidRDefault="00F20AE9" w:rsidP="00F20A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Thread: file upload using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QNetworkRequest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spellStart"/>
      <w:r w:rsidRPr="00F20AE9">
        <w:rPr>
          <w:rFonts w:ascii="Times New Roman" w:hAnsi="Times New Roman" w:cs="Times New Roman"/>
          <w:sz w:val="28"/>
          <w:szCs w:val="28"/>
          <w:lang w:val="en-US"/>
        </w:rPr>
        <w:t>QNetworkAccessManager</w:t>
      </w:r>
      <w:proofErr w:type="spellEnd"/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F20AE9">
        <w:rPr>
          <w:rFonts w:ascii="Times New Roman" w:hAnsi="Times New Roman" w:cs="Times New Roman"/>
          <w:sz w:val="28"/>
          <w:szCs w:val="28"/>
        </w:rPr>
        <w:t>электронный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ресурс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// Qt Centre : forums. — URL: </w:t>
      </w:r>
      <w:hyperlink r:id="rId62" w:tgtFrame="_blank" w:history="1">
        <w:r w:rsidRPr="00F20AE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https://www.qtcentre.org/threads/17564-file-upload-using-QNetworkRequest-amp-Q</w:t>
        </w:r>
      </w:hyperlink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20AE9">
        <w:rPr>
          <w:rFonts w:ascii="Times New Roman" w:hAnsi="Times New Roman" w:cs="Times New Roman"/>
          <w:sz w:val="28"/>
          <w:szCs w:val="28"/>
        </w:rPr>
        <w:t>дата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0AE9">
        <w:rPr>
          <w:rFonts w:ascii="Times New Roman" w:hAnsi="Times New Roman" w:cs="Times New Roman"/>
          <w:sz w:val="28"/>
          <w:szCs w:val="28"/>
        </w:rPr>
        <w:t>обращения</w:t>
      </w:r>
      <w:r w:rsidRPr="00F20AE9">
        <w:rPr>
          <w:rFonts w:ascii="Times New Roman" w:hAnsi="Times New Roman" w:cs="Times New Roman"/>
          <w:sz w:val="28"/>
          <w:szCs w:val="28"/>
          <w:lang w:val="en-US"/>
        </w:rPr>
        <w:t xml:space="preserve">: 24.05.2026). </w:t>
      </w:r>
    </w:p>
    <w:p w14:paraId="030D0B54" w14:textId="1A8C213D" w:rsidR="000E5DD7" w:rsidRPr="00830D5A" w:rsidRDefault="000E5DD7" w:rsidP="00F20AE9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E5DD7" w:rsidRPr="00830D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07ADF28-518D-4A65-907B-F2664D1241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2B34FD0-FE56-4769-9FBC-3231043B1814}"/>
    <w:embedBold r:id="rId3" w:fontKey="{05D568E3-CB1B-482D-8684-58E9A8E7AC0D}"/>
  </w:font>
  <w:font w:name="Google Sans">
    <w:altName w:val="Calibri"/>
    <w:panose1 w:val="020B0604020202020204"/>
    <w:charset w:val="00"/>
    <w:family w:val="auto"/>
    <w:pitch w:val="default"/>
    <w:embedRegular r:id="rId4" w:fontKey="{0D3F1A63-0323-4F6A-A96E-561404E30CC0}"/>
    <w:embedBold r:id="rId5" w:fontKey="{AA65FD21-7C04-40D3-BBED-685C9D9A4D6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0945CA21-AAC7-43FA-9DD3-5719081D97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6E02"/>
    <w:multiLevelType w:val="multilevel"/>
    <w:tmpl w:val="07D6D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71888"/>
    <w:multiLevelType w:val="multilevel"/>
    <w:tmpl w:val="B5D2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20444"/>
    <w:multiLevelType w:val="multilevel"/>
    <w:tmpl w:val="824031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DB7339"/>
    <w:multiLevelType w:val="multilevel"/>
    <w:tmpl w:val="38A2F0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FF4556"/>
    <w:multiLevelType w:val="multilevel"/>
    <w:tmpl w:val="4EC8B4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F6542"/>
    <w:multiLevelType w:val="multilevel"/>
    <w:tmpl w:val="C7244C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317B4"/>
    <w:multiLevelType w:val="multilevel"/>
    <w:tmpl w:val="2F56501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33004753">
    <w:abstractNumId w:val="6"/>
  </w:num>
  <w:num w:numId="2" w16cid:durableId="1191722658">
    <w:abstractNumId w:val="2"/>
  </w:num>
  <w:num w:numId="3" w16cid:durableId="698550943">
    <w:abstractNumId w:val="3"/>
  </w:num>
  <w:num w:numId="4" w16cid:durableId="349914403">
    <w:abstractNumId w:val="1"/>
  </w:num>
  <w:num w:numId="5" w16cid:durableId="1019283598">
    <w:abstractNumId w:val="0"/>
  </w:num>
  <w:num w:numId="6" w16cid:durableId="162265">
    <w:abstractNumId w:val="5"/>
  </w:num>
  <w:num w:numId="7" w16cid:durableId="682513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D7"/>
    <w:rsid w:val="000E5DD7"/>
    <w:rsid w:val="00322B7B"/>
    <w:rsid w:val="00490DBC"/>
    <w:rsid w:val="007C7CE7"/>
    <w:rsid w:val="00830D5A"/>
    <w:rsid w:val="00C31925"/>
    <w:rsid w:val="00F20AE9"/>
    <w:rsid w:val="00FA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DE08"/>
  <w15:docId w15:val="{70354476-B7FF-4474-A4F6-067D3DB5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490DBC"/>
    <w:pPr>
      <w:widowControl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20AE9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20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hyperlink" Target="https://sqlite.org/wal.html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stackoverflow.com/questions/72270357/uploading-chunk-of-file-to-server-with-post-request-qt6-qnetworkaccessmanager-p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doc.qt.io/qt-6/qtsql-index.html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s://www.google.com/search?q=http://samag.ru/archive/article/4820&amp;authuser=3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hyperlink" Target="https://www.google.com/search?q=https://www.qtcentre.org/threads/17564-file-upload-using-QNetworkRequest-amp-Q&amp;authuser=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https://doc.qt.io/qt-6/json.html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https://mintrans.gov.ru/docum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24</Pages>
  <Words>5935</Words>
  <Characters>33833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Ysha Lava</cp:lastModifiedBy>
  <cp:revision>6</cp:revision>
  <dcterms:created xsi:type="dcterms:W3CDTF">2026-05-24T13:23:00Z</dcterms:created>
  <dcterms:modified xsi:type="dcterms:W3CDTF">2026-05-24T14:11:00Z</dcterms:modified>
</cp:coreProperties>
</file>