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Диаграмма: (не поместилась в документ, откройте answer.drawio.png)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642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Порядок выполнения действий: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ShowMainMenu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SelectTransferSection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ShowTransferForm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FillTransferForm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FillRecipientDetails / FillAmount (в любом порядке)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ConfirmTransfer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ValidateData / CheckBalance (в любом порядке)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ExecuteTransfer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TransferAccepted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SendNotification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ViewNotification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Токены: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Токен управления (передаётся между действиями)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Токен с логином пользователя (передаётся из Login в CheckBalance и ExecuteTransfer)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Токен с данными перевода (передаётся из FillRecipientsDetails в ValidateData и ExecuteTransfer)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Токен с суммой перевода (передаётся из FillAmount в CheckBalance и ExecuteTransfer)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