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both"/>
        <w:spacing w:before="0" w:after="56.69291338582677" w:line="241" w:lineRule="auto"/>
      </w:pPr>
      <w:r>
        <w:rPr>
          <w:sz w:val="24"/>
          <w:szCs w:val="24"/>
        </w:rPr>
        <w:t xml:space="preserve">ОБЩЕСТВО С ОГРАНИЧЕННОЙ ОТВЕТСТВЕННОСТЬЮ "АГРОФИРМА "НИКОЛЬСКОЕ"</w:t>
      </w:r>
    </w:p>
    <w:p>
      <w:pPr>
        <w:jc w:val="both"/>
        <w:spacing w:before="0" w:after="0" w:line="241" w:lineRule="auto"/>
      </w:pPr>
      <w:pPr>
        <w:rPr/>
      </w:pPr>
    </w:p>
    <w:tbl>
      <w:tblGrid>
        <w:gridCol w:w="1984.251968503937" w:type="dxa"/>
        <w:gridCol w:w="8503.9370078740158" w:type="dxa"/>
      </w:tblGrid>
      <w:tblPr>
        <w:tblW w:w="5000" w:type="pct"/>
        <w:tblLayout w:type="fixed"/>
        <w:bidiVisual w:val="0"/>
        <w:tblCellMar>
          <w:top w:w="56.69291338582677" w:type="dxa"/>
          <w:left w:w="113.38582677165354" w:type="dxa"/>
          <w:right w:w="113.38582677165354" w:type="dxa"/>
          <w:bottom w:w="56.69291338582677" w:type="dxa"/>
        </w:tblCellMar>
        <w:tblBorders>
          <w:top w:val="single" w:sz="6" w:color="#000000"/>
          <w:left w:val="single" w:sz="6" w:color="#000000"/>
          <w:right w:val="single" w:sz="6" w:color="#000000"/>
          <w:bottom w:val="single" w:sz="6" w:color="#000000"/>
          <w:insideH w:val="single" w:sz="6" w:color="#000000"/>
          <w:insideV w:val="single" w:sz="6" w:color="#000000"/>
        </w:tblBorders>
      </w:tblPr>
      <w:tr>
        <w:trPr/>
        <w:tc>
          <w:tcPr>
            <w:tcW w:w="1984.251968503937" w:type="dxa"/>
          </w:tcPr>
          <w:p>
            <w:pPr>
              <w:jc w:val="both"/>
              <w:spacing w:before="0" w:after="0" w:line="241" w:lineRule="auto"/>
            </w:pPr>
            <w:r>
              <w:rPr>
                <w:color w:val="878787"/>
                <w:sz w:val="22"/>
                <w:szCs w:val="22"/>
              </w:rPr>
              <w:t xml:space="preserve">ИНН:</w:t>
            </w:r>
          </w:p>
        </w:tc>
        <w:tc>
          <w:tcPr>
            <w:tcW w:w="8503.9370078740158" w:type="dxa"/>
          </w:tcPr>
          <w:p>
            <w:pPr>
              <w:jc w:val="both"/>
              <w:spacing w:before="0" w:after="0" w:line="241" w:lineRule="auto"/>
            </w:pPr>
            <w:r>
              <w:rPr>
                <w:sz w:val="22"/>
                <w:szCs w:val="22"/>
              </w:rPr>
              <w:t xml:space="preserve">6652015321</w:t>
            </w:r>
          </w:p>
        </w:tc>
      </w:tr>
      <w:tr>
        <w:trPr/>
        <w:tc>
          <w:tcPr>
            <w:tcW w:w="1984.251968503937" w:type="dxa"/>
          </w:tcPr>
          <w:p>
            <w:pPr>
              <w:jc w:val="both"/>
              <w:spacing w:before="0" w:after="0" w:line="241" w:lineRule="auto"/>
            </w:pPr>
            <w:r>
              <w:rPr>
                <w:color w:val="878787"/>
                <w:sz w:val="22"/>
                <w:szCs w:val="22"/>
              </w:rPr>
              <w:t xml:space="preserve">ОГРН:</w:t>
            </w:r>
          </w:p>
        </w:tc>
        <w:tc>
          <w:tcPr>
            <w:tcW w:w="8503.9370078740158" w:type="dxa"/>
          </w:tcPr>
          <w:p>
            <w:pPr>
              <w:jc w:val="both"/>
              <w:spacing w:before="0" w:after="0" w:line="241" w:lineRule="auto"/>
            </w:pPr>
            <w:r>
              <w:rPr>
                <w:sz w:val="22"/>
                <w:szCs w:val="22"/>
              </w:rPr>
              <w:t xml:space="preserve">1026602173190</w:t>
            </w:r>
          </w:p>
        </w:tc>
      </w:tr>
      <w:tr>
        <w:trPr/>
        <w:tc>
          <w:tcPr>
            <w:tcW w:w="1984.251968503937" w:type="dxa"/>
          </w:tcPr>
          <w:p>
            <w:pPr>
              <w:jc w:val="both"/>
              <w:spacing w:before="0" w:after="0" w:line="241" w:lineRule="auto"/>
            </w:pPr>
            <w:r>
              <w:rPr>
                <w:color w:val="878787"/>
                <w:sz w:val="22"/>
                <w:szCs w:val="22"/>
              </w:rPr>
              <w:t xml:space="preserve">КПП:</w:t>
            </w:r>
          </w:p>
        </w:tc>
        <w:tc>
          <w:tcPr>
            <w:tcW w:w="8503.9370078740158" w:type="dxa"/>
          </w:tcPr>
          <w:p>
            <w:pPr>
              <w:jc w:val="both"/>
              <w:spacing w:before="0" w:after="0" w:line="241" w:lineRule="auto"/>
            </w:pPr>
            <w:r>
              <w:rPr>
                <w:sz w:val="22"/>
                <w:szCs w:val="22"/>
              </w:rPr>
              <w:t xml:space="preserve">668501001</w:t>
            </w:r>
          </w:p>
        </w:tc>
      </w:tr>
      <w:tr>
        <w:trPr/>
        <w:tc>
          <w:tcPr>
            <w:tcW w:w="1984.251968503937" w:type="dxa"/>
          </w:tcPr>
          <w:p>
            <w:pPr>
              <w:jc w:val="both"/>
              <w:spacing w:before="0" w:after="0" w:line="241" w:lineRule="auto"/>
            </w:pPr>
            <w:r>
              <w:rPr>
                <w:color w:val="878787"/>
                <w:sz w:val="22"/>
                <w:szCs w:val="22"/>
              </w:rPr>
              <w:t xml:space="preserve">Статус</w:t>
            </w:r>
          </w:p>
        </w:tc>
        <w:tc>
          <w:tcPr>
            <w:tcW w:w="8503.9370078740158" w:type="dxa"/>
          </w:tcPr>
          <w:p>
            <w:pPr>
              <w:jc w:val="both"/>
              <w:spacing w:before="0" w:after="0" w:line="241" w:lineRule="auto"/>
            </w:pPr>
            <w:r>
              <w:rPr>
                <w:color w:val="af1e0c"/>
                <w:sz w:val="22"/>
                <w:szCs w:val="22"/>
              </w:rPr>
              <w:t xml:space="preserve">Юридическое лицо признано несостоятельным (банкротом) и в отношении него открыто конкурсное производство</w:t>
            </w:r>
          </w:p>
        </w:tc>
      </w:tr>
      <w:tr>
        <w:trPr/>
        <w:tc>
          <w:tcPr>
            <w:tcW w:w="1984.251968503937" w:type="dxa"/>
          </w:tcPr>
          <w:p>
            <w:pPr>
              <w:jc w:val="both"/>
              <w:spacing w:before="0" w:after="0" w:line="241" w:lineRule="auto"/>
            </w:pPr>
            <w:r>
              <w:rPr>
                <w:color w:val="878787"/>
                <w:sz w:val="22"/>
                <w:szCs w:val="22"/>
              </w:rPr>
              <w:t xml:space="preserve">Дата регистрации</w:t>
            </w:r>
          </w:p>
        </w:tc>
        <w:tc>
          <w:tcPr>
            <w:tcW w:w="8503.9370078740158" w:type="dxa"/>
          </w:tcPr>
          <w:p>
            <w:pPr>
              <w:jc w:val="both"/>
              <w:spacing w:before="0" w:after="0" w:line="241" w:lineRule="auto"/>
            </w:pPr>
            <w:r>
              <w:rPr>
                <w:sz w:val="22"/>
                <w:szCs w:val="22"/>
              </w:rPr>
              <w:t xml:space="preserve">29.07.2002</w:t>
            </w:r>
          </w:p>
        </w:tc>
      </w:tr>
      <w:tr>
        <w:trPr/>
        <w:tc>
          <w:tcPr>
            <w:tcW w:w="1984.251968503937" w:type="dxa"/>
          </w:tcPr>
          <w:p>
            <w:pPr>
              <w:jc w:val="both"/>
              <w:spacing w:before="0" w:after="0" w:line="241" w:lineRule="auto"/>
            </w:pPr>
            <w:r>
              <w:rPr>
                <w:color w:val="878787"/>
                <w:sz w:val="22"/>
                <w:szCs w:val="22"/>
              </w:rPr>
              <w:t xml:space="preserve">Конкурсный управляющий</w:t>
            </w:r>
          </w:p>
        </w:tc>
        <w:tc>
          <w:tcPr>
            <w:tcW w:w="8503.9370078740158" w:type="dxa"/>
          </w:tcPr>
          <w:p>
            <w:pPr>
              <w:jc w:val="both"/>
              <w:spacing w:before="0" w:after="0" w:line="241" w:lineRule="auto"/>
            </w:pPr>
            <w:r>
              <w:rPr>
                <w:sz w:val="22"/>
                <w:szCs w:val="22"/>
              </w:rPr>
              <w:t xml:space="preserve">Шелементьев Андрей Сергеевич</w:t>
            </w:r>
          </w:p>
        </w:tc>
      </w:tr>
      <w:tr>
        <w:trPr/>
        <w:tc>
          <w:tcPr>
            <w:tcW w:w="1984.251968503937" w:type="dxa"/>
          </w:tcPr>
          <w:p>
            <w:pPr>
              <w:jc w:val="both"/>
              <w:spacing w:before="0" w:after="0" w:line="241" w:lineRule="auto"/>
            </w:pPr>
            <w:r>
              <w:rPr>
                <w:color w:val="878787"/>
                <w:sz w:val="22"/>
                <w:szCs w:val="22"/>
              </w:rPr>
              <w:t xml:space="preserve">Адрес регистрации</w:t>
            </w:r>
          </w:p>
        </w:tc>
        <w:tc>
          <w:tcPr>
            <w:tcW w:w="8503.9370078740158" w:type="dxa"/>
          </w:tcPr>
          <w:p>
            <w:pPr>
              <w:jc w:val="both"/>
              <w:spacing w:before="0" w:after="0" w:line="241" w:lineRule="auto"/>
            </w:pPr>
            <w:r>
              <w:rPr>
                <w:sz w:val="22"/>
                <w:szCs w:val="22"/>
              </w:rPr>
              <w:t xml:space="preserve">624027,  Область Свердловская,  Район Сысертский,  Село Никольское,  Улица 1 Мая,  д. 45</w:t>
            </w:r>
          </w:p>
        </w:tc>
      </w:tr>
    </w:tbl>
    <w:p>
      <w:pPr>
        <w:jc w:val="both"/>
        <w:spacing w:before="0" w:after="0" w:line="241" w:lineRule="auto"/>
      </w:pPr>
      <w:pPr>
        <w:rPr/>
      </w:pPr>
    </w:p>
    <w:p>
      <w:pPr>
        <w:jc w:val="both"/>
        <w:spacing w:before="0" w:after="0" w:line="241" w:lineRule="auto"/>
      </w:pPr>
      <w:pPr>
        <w:rPr/>
      </w:pPr>
    </w:p>
    <w:p>
      <w:pPr>
        <w:jc w:val="both"/>
        <w:spacing w:before="0" w:after="0" w:line="241" w:lineRule="auto"/>
      </w:pPr>
      <w:pPr>
        <w:rPr/>
      </w:pPr>
    </w:p>
    <w:p>
      <w:pPr>
        <w:spacing w:after="56.69291338582677"/>
      </w:pPr>
      <w:r>
        <w:rPr>
          <w:sz w:val="24"/>
          <w:szCs w:val="24"/>
          <w:b w:val="1"/>
          <w:bCs w:val="1"/>
        </w:rPr>
        <w:t xml:space="preserve">Сообщения о банкротстве ЮЛ</w:t>
      </w:r>
    </w:p>
    <w:p>
      <w:pPr>
        <w:jc w:val="both"/>
        <w:spacing w:before="0" w:after="0" w:line="241" w:lineRule="auto"/>
      </w:pPr>
      <w:pPr>
        <w:rPr/>
      </w:pPr>
    </w:p>
    <w:p>
      <w:pPr>
        <w:jc w:val="both"/>
        <w:spacing w:before="0" w:after="170.07874015748033" w:line="241" w:lineRule="auto"/>
      </w:pPr>
      <w:r>
        <w:rPr>
          <w:b w:val="1"/>
          <w:bCs w:val="1"/>
        </w:rPr>
        <w:t xml:space="preserve">Федеральный ресурс</w:t>
      </w:r>
    </w:p>
    <w:p>
      <w:pPr>
        <w:spacing w:after="56.69291338582677"/>
      </w:pPr>
      <w:r>
        <w:rPr>
          <w:sz w:val="22"/>
          <w:szCs w:val="22"/>
        </w:rPr>
        <w:t xml:space="preserve">Информация отсутствует</w:t>
      </w:r>
    </w:p>
    <w:sectPr>
      <w:headerReference w:type="first" r:id="rId7"/>
      <w:footerReference w:type="first" r:id="rId8"/>
      <w:footerReference w:type="default" r:id="rId9"/>
      <w:titlePg/>
      <w:pgSz w:orient="portrait" w:w="11905.511811023622" w:h="16837.79527559055"/>
      <w:pgMar w:top="566.92913385826762" w:right="566.92913385826762" w:bottom="566.92913385826762" w:left="850.39370078740149" w:header="510.23622047244089" w:footer="283.46456692913381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3231.4960629921261" w:type="dxa"/>
      <w:gridCol w:w="5102.3622047244089" w:type="dxa"/>
      <w:gridCol w:w="1870.8661417322833" w:type="dxa"/>
    </w:tblGrid>
    <w:tblPr>
      <w:tblW w:w="0" w:type="auto"/>
      <w:tblLayout w:type="fixed"/>
      <w:bidiVisual w:val="0"/>
      <w:tblCellMar>
        <w:top w:w="56.69291338582677" w:type="dxa"/>
        <w:left w:w="113.38582677165354" w:type="dxa"/>
        <w:right w:w="113.38582677165354" w:type="dxa"/>
        <w:bottom w:w="56.69291338582677" w:type="dxa"/>
      </w:tblCellMar>
    </w:tblPr>
    <w:tr>
      <w:trPr/>
      <w:tc>
        <w:tcPr>
          <w:tcW w:w="3231.4960629921261" w:type="dxa"/>
        </w:tcPr>
        <w:p>
          <w:pPr>
            <w:jc w:val="left"/>
          </w:pPr>
          <w:r>
            <w:pict>
              <v:shape type="#_x0000_t75" stroked="f" style="width:170pt; height:25pt; margin-left:0pt; margin-top:-15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5102.3622047244089" w:type="dxa"/>
        </w:tcPr>
        <w:p>
          <w:pPr>
            <w:jc w:val="right"/>
            <w:spacing w:before="0" w:after="0" w:line="241" w:lineRule="auto"/>
          </w:pPr>
          <w:r>
            <w:rPr>
              <w:color w:val="878787"/>
              <w:sz w:val="19"/>
              <w:szCs w:val="19"/>
            </w:rPr>
            <w:t xml:space="preserve">Информация предоставлена АИС «ДельтаБезопасность»</w:t>
          </w:r>
        </w:p>
      </w:tc>
      <w:tc>
        <w:tcPr>
          <w:tcW w:w="1870.8661417322833" w:type="dxa"/>
        </w:tcPr>
        <w:p>
          <w:pPr>
            <w:jc w:val="right"/>
            <w:spacing w:before="0" w:after="0" w:line="241" w:lineRule="auto"/>
          </w:pPr>
          <w:r>
            <w:rPr>
              <w:color w:val="878787"/>
            </w:rPr>
            <w:t xml:space="preserve">стр. </w:t>
          </w:r>
          <w:r>
            <w:fldChar w:fldCharType="begin"/>
          </w:r>
          <w:r>
            <w:rPr>
              <w:color w:val="878787"/>
            </w:rPr>
            <w:instrText xml:space="preserve">PAGE</w:instrText>
          </w:r>
          <w:r>
            <w:fldChar w:fldCharType="separate"/>
          </w:r>
          <w:r>
            <w:fldChar w:fldCharType="end"/>
          </w:r>
          <w:r>
            <w:rPr>
              <w:color w:val="878787"/>
            </w:rPr>
            <w:t xml:space="preserve"> из </w:t>
          </w:r>
          <w:r>
            <w:fldChar w:fldCharType="begin"/>
          </w:r>
          <w:r>
            <w:rPr>
              <w:color w:val="878787"/>
            </w:rP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3231.4960629921261" w:type="dxa"/>
      <w:gridCol w:w="5102.3622047244089" w:type="dxa"/>
      <w:gridCol w:w="1870.8661417322833" w:type="dxa"/>
    </w:tblGrid>
    <w:tblPr>
      <w:tblW w:w="0" w:type="auto"/>
      <w:tblLayout w:type="fixed"/>
      <w:bidiVisual w:val="0"/>
      <w:tblCellMar>
        <w:top w:w="56.69291338582677" w:type="dxa"/>
        <w:left w:w="113.38582677165354" w:type="dxa"/>
        <w:right w:w="113.38582677165354" w:type="dxa"/>
        <w:bottom w:w="56.69291338582677" w:type="dxa"/>
      </w:tblCellMar>
    </w:tblPr>
    <w:tr>
      <w:trPr/>
      <w:tc>
        <w:tcPr>
          <w:tcW w:w="3231.4960629921261" w:type="dxa"/>
        </w:tcPr>
        <w:p>
          <w:pPr>
            <w:jc w:val="left"/>
          </w:pPr>
          <w:r>
            <w:pict>
              <v:shape type="#_x0000_t75" stroked="f" style="width:170pt; height:25pt; margin-left:0pt; margin-top:-15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5102.3622047244089" w:type="dxa"/>
        </w:tcPr>
        <w:p>
          <w:pPr>
            <w:jc w:val="right"/>
            <w:spacing w:before="0" w:after="0" w:line="241" w:lineRule="auto"/>
          </w:pPr>
          <w:r>
            <w:rPr>
              <w:color w:val="878787"/>
              <w:sz w:val="19"/>
              <w:szCs w:val="19"/>
            </w:rPr>
            <w:t xml:space="preserve">Информация предоставлена АИС «ДельтаБезопасность»</w:t>
          </w:r>
        </w:p>
      </w:tc>
      <w:tc>
        <w:tcPr>
          <w:tcW w:w="1870.8661417322833" w:type="dxa"/>
        </w:tcPr>
        <w:p>
          <w:pPr>
            <w:jc w:val="right"/>
            <w:spacing w:before="0" w:after="0" w:line="241" w:lineRule="auto"/>
          </w:pPr>
          <w:r>
            <w:rPr>
              <w:color w:val="878787"/>
            </w:rPr>
            <w:t xml:space="preserve">стр. </w:t>
          </w:r>
          <w:r>
            <w:fldChar w:fldCharType="begin"/>
          </w:r>
          <w:r>
            <w:rPr>
              <w:color w:val="878787"/>
            </w:rPr>
            <w:instrText xml:space="preserve">PAGE</w:instrText>
          </w:r>
          <w:r>
            <w:fldChar w:fldCharType="separate"/>
          </w:r>
          <w:r>
            <w:fldChar w:fldCharType="end"/>
          </w:r>
          <w:r>
            <w:rPr>
              <w:color w:val="878787"/>
            </w:rPr>
            <w:t xml:space="preserve"> из </w:t>
          </w:r>
          <w:r>
            <w:fldChar w:fldCharType="begin"/>
          </w:r>
          <w:r>
            <w:rPr>
              <w:color w:val="878787"/>
            </w:rP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4138.5826771653537" w:type="dxa"/>
      <w:gridCol w:w="6406.2992125984256" w:type="dxa"/>
    </w:tblGrid>
    <w:tblPr>
      <w:tblW w:w="0" w:type="auto"/>
      <w:tblLayout w:type="fixed"/>
      <w:bidiVisual w:val="0"/>
      <w:tblCellMar>
        <w:top w:w="56.69291338582677" w:type="dxa"/>
        <w:left w:w="113.38582677165354" w:type="dxa"/>
        <w:right w:w="113.38582677165354" w:type="dxa"/>
        <w:bottom w:w="56.69291338582677" w:type="dxa"/>
      </w:tblCellMar>
    </w:tblPr>
    <w:tr>
      <w:trPr/>
      <w:tc>
        <w:tcPr>
          <w:tcW w:w="4138.5826771653537" w:type="dxa"/>
          <w:vAlign w:val="center"/>
        </w:tcPr>
        <w:p>
          <w:pPr>
            <w:jc w:val="left"/>
          </w:pPr>
          <w:r>
            <w:pict>
              <v:shape type="#_x0000_t75" stroked="f" style="width:200pt; height:35pt; margin-left:0pt; margin-top:-28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6406.2992125984256" w:type="dxa"/>
          <w:vAlign w:val="center"/>
        </w:tcPr>
        <w:p>
          <w:pPr>
            <w:jc w:val="right"/>
            <w:spacing w:before="0" w:after="0" w:line="241" w:lineRule="auto"/>
          </w:pPr>
          <w:r>
            <w:rPr>
              <w:color w:val="878787"/>
            </w:rPr>
            <w:t xml:space="preserve">ООО "АГРОФИРМА "НИКОЛЬСКОЕ", 22.10.2025</w:t>
          </w:r>
        </w:p>
      </w:tc>
    </w:tr>
  </w:tbl>
  <w:p>
    <w:pPr>
      <w:spacing w:line="360" w:lineRule="auto"/>
    </w:pPr>
    <w:pP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B6027F09"/>
    <w:multiLevelType w:val="multilevel"/>
    <w:lvl w:ilvl="0">
      <w:start w:val="1"/>
      <w:numFmt w:val="decimal"/>
      <w:pStyle w:val="Heading1"/>
      <w:suff w:val="tab"/>
      <w:pPr>
        <w:tabs>
          <w:tab w:val="num"/>
        </w:tabs>
        <w:ind w:left="0"/>
      </w:pPr>
      <w:rPr>
        <w:rFonts/>
      </w:rPr>
    </w:lvl>
    <w:lvl w:ilvl="1">
      <w:start w:val="1"/>
      <w:numFmt w:val="decimal"/>
      <w:pStyle w:val="Heading2"/>
      <w:suff w:val="tab"/>
      <w:pPr>
        <w:tabs>
          <w:tab w:val="num"/>
        </w:tabs>
        <w:ind w:left="0"/>
      </w:pPr>
      <w:rPr>
        <w:rFonts/>
      </w:rPr>
    </w:lvl>
    <w:lvl w:ilvl="2">
      <w:start w:val="1"/>
      <w:numFmt w:val="decimal"/>
      <w:pStyle w:val="Heading3"/>
      <w:suff w:val="tab"/>
      <w:pPr>
        <w:tabs>
          <w:tab w:val="num"/>
        </w:tabs>
        <w:ind w:left="0"/>
      </w:pPr>
      <w:rPr>
        <w:rFonts/>
      </w:rPr>
    </w:lvl>
    <w:lvl w:ilvl="3">
      <w:start w:val="1"/>
      <w:numFmt w:val="decimal"/>
      <w:pStyle w:val="Heading4"/>
      <w:suff w:val="tab"/>
      <w:pPr>
        <w:tabs>
          <w:tab w:val="num"/>
        </w:tabs>
        <w:ind w:left="0"/>
      </w:pPr>
      <w:rPr>
        <w:rFonts/>
      </w:rPr>
    </w:lvl>
    <w:lvl w:ilvl="4">
      <w:start w:val="1"/>
      <w:numFmt w:val="decimal"/>
      <w:pStyle w:val="Heading5"/>
      <w:suff w:val="tab"/>
      <w:pPr>
        <w:tabs>
          <w:tab w:val="num"/>
        </w:tabs>
        <w:ind w:left="0"/>
      </w:pPr>
      <w:rPr>
        <w:rFonts/>
      </w:rPr>
    </w:lvl>
    <w:lvl w:ilvl="5">
      <w:start w:val="1"/>
      <w:numFmt w:val="decimal"/>
      <w:pStyle w:val="Heading6"/>
      <w:suff w:val="tab"/>
      <w:pPr>
        <w:tabs>
          <w:tab w:val="num"/>
        </w:tabs>
        <w:ind w:left="0"/>
      </w:pPr>
      <w:rPr>
        <w:rFonts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113.38582677165354"/>
      <w:numPr>
        <w:numId w:val="1"/>
        <w:ilvl w:val="0"/>
      </w:numPr>
      <w:outlineLvl w:val="0"/>
    </w:pPr>
    <w:rPr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numPr>
        <w:numId w:val="1"/>
        <w:ilvl w:val="1"/>
      </w:numPr>
      <w:outlineLvl w:val="1"/>
    </w:pPr>
    <w:rPr>
      <w:sz w:val="32"/>
      <w:szCs w:val="32"/>
      <w:b w:val="1"/>
      <w:bCs w:val="1"/>
    </w:rPr>
  </w:style>
  <w:style w:type="paragraph" w:styleId="Heading3">
    <w:link w:val="Heading3Char"/>
    <w:name w:val="heading 3"/>
    <w:basedOn w:val="Normal"/>
    <w:pPr>
      <w:numPr>
        <w:numId w:val="1"/>
        <w:ilvl w:val="2"/>
      </w:numPr>
      <w:outlineLvl w:val="2"/>
    </w:pPr>
    <w:rPr>
      <w:sz w:val="28"/>
      <w:szCs w:val="28"/>
      <w:b w:val="1"/>
      <w:bCs w:val="1"/>
    </w:rPr>
  </w:style>
  <w:style w:type="paragraph" w:styleId="Heading4">
    <w:link w:val="Heading4Char"/>
    <w:name w:val="heading 4"/>
    <w:basedOn w:val="Normal"/>
    <w:pPr>
      <w:numPr>
        <w:numId w:val="1"/>
        <w:ilvl w:val="3"/>
      </w:numPr>
      <w:outlineLvl w:val="3"/>
    </w:pPr>
    <w:rPr>
      <w:sz w:val="24"/>
      <w:szCs w:val="24"/>
      <w:b w:val="1"/>
      <w:bCs w:val="1"/>
    </w:rPr>
  </w:style>
  <w:style w:type="paragraph" w:styleId="Heading5">
    <w:link w:val="Heading5Char"/>
    <w:name w:val="heading 5"/>
    <w:basedOn w:val="Normal"/>
    <w:pPr>
      <w:numPr>
        <w:numId w:val="1"/>
        <w:ilvl w:val="4"/>
      </w:numPr>
      <w:outlineLvl w:val="4"/>
    </w:pPr>
    <w:rPr>
      <w:sz w:val="20"/>
      <w:szCs w:val="20"/>
      <w:b w:val="1"/>
      <w:bCs w:val="1"/>
    </w:rPr>
  </w:style>
  <w:style w:type="paragraph" w:styleId="Heading6">
    <w:link w:val="Heading6Char"/>
    <w:name w:val="heading 6"/>
    <w:basedOn w:val="Normal"/>
    <w:pPr>
      <w:numPr>
        <w:numId w:val="1"/>
        <w:ilvl w:val="5"/>
      </w:numPr>
      <w:outlineLvl w:val="5"/>
    </w:pPr>
    <w:rPr>
      <w:sz w:val="16"/>
      <w:szCs w:val="1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footer1_image1.jpg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footer2_image1.jp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2025-10-22T10:53:56+03:00</dcterms:created>
  <dcterms:modified xsi:type="dcterms:W3CDTF">2025-10-22T10:53:56+03:00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