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C25" w:rsidRPr="009D5AE7" w:rsidRDefault="006C0C25" w:rsidP="006C0C25">
      <w:pPr>
        <w:spacing w:before="0" w:after="0"/>
        <w:jc w:val="both"/>
        <w:rPr>
          <w:rFonts w:eastAsia="Times New Roman" w:cs="Times New Roman"/>
          <w:b/>
          <w:i/>
          <w:szCs w:val="24"/>
          <w:lang w:val="en-US" w:eastAsia="pl-PL"/>
        </w:rPr>
      </w:pPr>
      <w:r>
        <w:rPr>
          <w:rFonts w:eastAsia="Times New Roman" w:cs="Times New Roman"/>
          <w:szCs w:val="24"/>
          <w:lang w:eastAsia="pl-PL"/>
        </w:rPr>
        <w:tab/>
      </w:r>
      <w:proofErr w:type="spellStart"/>
      <w:r w:rsidRPr="009D5AE7">
        <w:rPr>
          <w:rFonts w:eastAsia="Times New Roman" w:cs="Times New Roman"/>
          <w:b/>
          <w:i/>
          <w:szCs w:val="24"/>
          <w:lang w:val="en-US" w:eastAsia="pl-PL"/>
        </w:rPr>
        <w:t>amsterdam_stock</w:t>
      </w:r>
      <w:proofErr w:type="spellEnd"/>
    </w:p>
    <w:p w:rsidR="006C0C25" w:rsidRPr="006C0C25" w:rsidRDefault="006C0C25" w:rsidP="006C0C25">
      <w:pPr>
        <w:spacing w:before="0" w:after="0"/>
        <w:jc w:val="both"/>
        <w:rPr>
          <w:rFonts w:eastAsia="Times New Roman" w:cs="Times New Roman"/>
          <w:b/>
          <w:i/>
          <w:szCs w:val="24"/>
          <w:lang w:eastAsia="pl-PL"/>
        </w:rPr>
      </w:pPr>
      <w:r>
        <w:rPr>
          <w:lang w:val="en-US"/>
        </w:rPr>
        <w:tab/>
      </w:r>
      <w:proofErr w:type="spellStart"/>
      <w:r w:rsidRPr="00F750EB">
        <w:rPr>
          <w:lang w:val="en-US"/>
        </w:rPr>
        <w:t>Zbiór</w:t>
      </w:r>
      <w:proofErr w:type="spellEnd"/>
      <w:r w:rsidRPr="00F750EB">
        <w:rPr>
          <w:lang w:val="en-US"/>
        </w:rPr>
        <w:t xml:space="preserve"> </w:t>
      </w:r>
      <w:proofErr w:type="spellStart"/>
      <w:r w:rsidRPr="006C0C25">
        <w:rPr>
          <w:rFonts w:eastAsia="Times New Roman" w:cs="Times New Roman"/>
          <w:i/>
          <w:szCs w:val="24"/>
          <w:lang w:val="en-US" w:eastAsia="pl-PL"/>
        </w:rPr>
        <w:t>amsterdam_stock</w:t>
      </w:r>
      <w:proofErr w:type="spellEnd"/>
      <w:r w:rsidRPr="00F750EB">
        <w:rPr>
          <w:i/>
          <w:lang w:val="en-US"/>
        </w:rPr>
        <w:t xml:space="preserve"> </w:t>
      </w:r>
      <w:proofErr w:type="spellStart"/>
      <w:r w:rsidRPr="00F750EB">
        <w:rPr>
          <w:lang w:val="en-US"/>
        </w:rPr>
        <w:t>zaczerpnięto</w:t>
      </w:r>
      <w:proofErr w:type="spellEnd"/>
      <w:r w:rsidRPr="00F750EB">
        <w:rPr>
          <w:lang w:val="en-US"/>
        </w:rPr>
        <w:t xml:space="preserve"> z </w:t>
      </w:r>
      <w:proofErr w:type="spellStart"/>
      <w:r w:rsidRPr="00F750EB">
        <w:rPr>
          <w:lang w:val="en-US"/>
        </w:rPr>
        <w:t>pracy</w:t>
      </w:r>
      <w:proofErr w:type="spellEnd"/>
      <w:r w:rsidRPr="00F750EB">
        <w:rPr>
          <w:lang w:val="en-US"/>
        </w:rPr>
        <w:t xml:space="preserve"> </w:t>
      </w:r>
      <w:r w:rsidRPr="00F750EB">
        <w:rPr>
          <w:szCs w:val="24"/>
          <w:lang w:val="en-US"/>
        </w:rPr>
        <w:t xml:space="preserve">G. </w:t>
      </w:r>
      <w:proofErr w:type="spellStart"/>
      <w:r w:rsidRPr="00F750EB">
        <w:rPr>
          <w:szCs w:val="24"/>
          <w:lang w:val="en-US"/>
        </w:rPr>
        <w:t>Nieuwenhuis</w:t>
      </w:r>
      <w:proofErr w:type="spellEnd"/>
      <w:r w:rsidRPr="00F750EB">
        <w:rPr>
          <w:szCs w:val="24"/>
          <w:lang w:val="en-US"/>
        </w:rPr>
        <w:t xml:space="preserve"> (2010) </w:t>
      </w:r>
      <w:r w:rsidRPr="00F750EB">
        <w:rPr>
          <w:i/>
          <w:szCs w:val="24"/>
          <w:lang w:val="en-US"/>
        </w:rPr>
        <w:t>Statistical Methods for Business and Economics</w:t>
      </w:r>
      <w:r w:rsidRPr="00F750EB">
        <w:rPr>
          <w:szCs w:val="24"/>
          <w:lang w:val="en-US"/>
        </w:rPr>
        <w:t xml:space="preserve"> (Maidenhead: McGraw-Hill Education)</w:t>
      </w:r>
      <w:r>
        <w:rPr>
          <w:szCs w:val="24"/>
          <w:lang w:val="en-US"/>
        </w:rPr>
        <w:t>,</w:t>
      </w:r>
      <w:r w:rsidRPr="00F750EB">
        <w:rPr>
          <w:szCs w:val="24"/>
          <w:lang w:val="en-US"/>
        </w:rPr>
        <w:t xml:space="preserve"> </w:t>
      </w:r>
      <w:r w:rsidRPr="006C0C25">
        <w:rPr>
          <w:szCs w:val="24"/>
          <w:lang w:val="en-US"/>
        </w:rPr>
        <w:t>s. 591.</w:t>
      </w:r>
      <w:r>
        <w:rPr>
          <w:szCs w:val="24"/>
          <w:lang w:val="en-US"/>
        </w:rPr>
        <w:t xml:space="preserve"> </w:t>
      </w:r>
      <w:r w:rsidRPr="006C0C25">
        <w:rPr>
          <w:szCs w:val="24"/>
        </w:rPr>
        <w:t xml:space="preserve">Zbiór ten zawiera 3 zmienne i </w:t>
      </w:r>
      <w:r w:rsidRPr="006C0C25">
        <w:rPr>
          <w:i/>
          <w:szCs w:val="24"/>
        </w:rPr>
        <w:t>n</w:t>
      </w:r>
      <w:r w:rsidRPr="006C0C25">
        <w:rPr>
          <w:szCs w:val="24"/>
        </w:rPr>
        <w:t>=510</w:t>
      </w:r>
      <w:r>
        <w:rPr>
          <w:szCs w:val="24"/>
        </w:rPr>
        <w:t xml:space="preserve"> obserwacji, </w:t>
      </w:r>
      <w:r w:rsidRPr="006C0C25">
        <w:rPr>
          <w:rFonts w:eastAsia="+mn-ea" w:cs="Times New Roman"/>
          <w:color w:val="000000"/>
          <w:kern w:val="24"/>
          <w:szCs w:val="24"/>
          <w:lang w:eastAsia="pl-PL"/>
        </w:rPr>
        <w:t>stanowiący</w:t>
      </w:r>
      <w:r>
        <w:rPr>
          <w:rFonts w:eastAsia="+mn-ea" w:cs="Times New Roman"/>
          <w:color w:val="000000"/>
          <w:kern w:val="24"/>
          <w:szCs w:val="24"/>
          <w:lang w:eastAsia="pl-PL"/>
        </w:rPr>
        <w:t>ch</w:t>
      </w:r>
      <w:r w:rsidRPr="006C0C25">
        <w:rPr>
          <w:rFonts w:eastAsia="+mn-ea" w:cs="Times New Roman"/>
          <w:color w:val="000000"/>
          <w:kern w:val="24"/>
          <w:szCs w:val="24"/>
          <w:lang w:eastAsia="pl-PL"/>
        </w:rPr>
        <w:t xml:space="preserve"> dzienne zwroty z inwestycji w indeks Heineken oraz w indeks AEX, mierzone w okresie od 7 stycznia 2005 do 3 stycznia 2007.</w:t>
      </w:r>
    </w:p>
    <w:p w:rsidR="006C0C25" w:rsidRPr="006C0C25" w:rsidRDefault="006C0C25" w:rsidP="006C0C25">
      <w:pPr>
        <w:spacing w:before="0" w:after="0"/>
        <w:jc w:val="both"/>
        <w:rPr>
          <w:rFonts w:eastAsia="+mn-ea" w:cs="Times New Roman"/>
          <w:color w:val="000000"/>
          <w:kern w:val="24"/>
          <w:szCs w:val="24"/>
          <w:lang w:eastAsia="pl-PL"/>
        </w:rPr>
      </w:pPr>
    </w:p>
    <w:p w:rsidR="006C0C25" w:rsidRPr="006C0C25" w:rsidRDefault="006C0C25" w:rsidP="006C0C25">
      <w:pPr>
        <w:keepNext/>
        <w:spacing w:before="0" w:after="0" w:line="240" w:lineRule="auto"/>
        <w:jc w:val="both"/>
        <w:rPr>
          <w:rFonts w:eastAsia="Times New Roman" w:cs="Times New Roman"/>
          <w:b/>
          <w:bCs/>
          <w:sz w:val="20"/>
          <w:szCs w:val="20"/>
          <w:lang w:eastAsia="pl-PL"/>
        </w:rPr>
      </w:pPr>
      <w:bookmarkStart w:id="0" w:name="_Toc329267754"/>
      <w:bookmarkStart w:id="1" w:name="_Toc329290848"/>
      <w:r w:rsidRPr="006C0C25">
        <w:rPr>
          <w:rFonts w:eastAsia="Times New Roman" w:cs="Times New Roman"/>
          <w:b/>
          <w:bCs/>
          <w:sz w:val="20"/>
          <w:szCs w:val="20"/>
          <w:lang w:eastAsia="pl-PL"/>
        </w:rPr>
        <w:t xml:space="preserve">Opis </w:t>
      </w:r>
      <w:r w:rsidR="009D5AE7">
        <w:rPr>
          <w:rFonts w:eastAsia="Times New Roman" w:cs="Times New Roman"/>
          <w:b/>
          <w:bCs/>
          <w:sz w:val="20"/>
          <w:szCs w:val="20"/>
          <w:lang w:eastAsia="pl-PL"/>
        </w:rPr>
        <w:t>cech</w:t>
      </w:r>
      <w:bookmarkEnd w:id="0"/>
      <w:bookmarkEnd w:id="1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70"/>
        <w:gridCol w:w="1239"/>
        <w:gridCol w:w="7263"/>
      </w:tblGrid>
      <w:tr w:rsidR="006C0C25" w:rsidRPr="006C0C25" w:rsidTr="00CF17ED">
        <w:tc>
          <w:tcPr>
            <w:tcW w:w="570" w:type="dxa"/>
            <w:vAlign w:val="center"/>
          </w:tcPr>
          <w:p w:rsidR="006C0C25" w:rsidRPr="006C0C25" w:rsidRDefault="006C0C25" w:rsidP="006C0C25">
            <w:pPr>
              <w:spacing w:before="0" w:after="0" w:line="240" w:lineRule="auto"/>
              <w:jc w:val="both"/>
              <w:rPr>
                <w:rFonts w:eastAsia="Times New Roman" w:cs="Times New Roman"/>
                <w:b/>
                <w:szCs w:val="24"/>
                <w:lang w:eastAsia="pl-PL"/>
              </w:rPr>
            </w:pPr>
            <w:r w:rsidRPr="006C0C25">
              <w:rPr>
                <w:rFonts w:eastAsia="Times New Roman" w:cs="Times New Roman"/>
                <w:b/>
                <w:szCs w:val="24"/>
                <w:lang w:eastAsia="pl-PL"/>
              </w:rPr>
              <w:t>Lp.</w:t>
            </w:r>
          </w:p>
        </w:tc>
        <w:tc>
          <w:tcPr>
            <w:tcW w:w="1239" w:type="dxa"/>
            <w:vAlign w:val="center"/>
          </w:tcPr>
          <w:p w:rsidR="006C0C25" w:rsidRPr="006C0C25" w:rsidRDefault="006C0C25" w:rsidP="006C0C25">
            <w:pPr>
              <w:spacing w:before="0" w:after="0" w:line="240" w:lineRule="auto"/>
              <w:jc w:val="both"/>
              <w:rPr>
                <w:rFonts w:eastAsia="Times New Roman" w:cs="Times New Roman"/>
                <w:b/>
                <w:szCs w:val="24"/>
                <w:lang w:eastAsia="pl-PL"/>
              </w:rPr>
            </w:pPr>
            <w:r w:rsidRPr="006C0C25">
              <w:rPr>
                <w:rFonts w:eastAsia="Times New Roman" w:cs="Times New Roman"/>
                <w:b/>
                <w:szCs w:val="24"/>
                <w:lang w:eastAsia="pl-PL"/>
              </w:rPr>
              <w:t>Nazwa zmiennej</w:t>
            </w:r>
          </w:p>
        </w:tc>
        <w:tc>
          <w:tcPr>
            <w:tcW w:w="7263" w:type="dxa"/>
            <w:vAlign w:val="center"/>
          </w:tcPr>
          <w:p w:rsidR="006C0C25" w:rsidRPr="006C0C25" w:rsidRDefault="006C0C25" w:rsidP="006C0C25">
            <w:pPr>
              <w:spacing w:before="0" w:after="0" w:line="240" w:lineRule="auto"/>
              <w:jc w:val="both"/>
              <w:rPr>
                <w:rFonts w:eastAsia="Times New Roman" w:cs="Times New Roman"/>
                <w:b/>
                <w:szCs w:val="24"/>
                <w:lang w:eastAsia="pl-PL"/>
              </w:rPr>
            </w:pPr>
            <w:r w:rsidRPr="006C0C25">
              <w:rPr>
                <w:rFonts w:eastAsia="Times New Roman" w:cs="Times New Roman"/>
                <w:b/>
                <w:szCs w:val="24"/>
                <w:lang w:eastAsia="pl-PL"/>
              </w:rPr>
              <w:t>Opis</w:t>
            </w:r>
          </w:p>
        </w:tc>
      </w:tr>
      <w:tr w:rsidR="006C0C25" w:rsidRPr="006C0C25" w:rsidTr="00CF17ED">
        <w:tc>
          <w:tcPr>
            <w:tcW w:w="570" w:type="dxa"/>
          </w:tcPr>
          <w:p w:rsidR="006C0C25" w:rsidRPr="006C0C25" w:rsidRDefault="006C0C25" w:rsidP="006C0C25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6C0C25">
              <w:rPr>
                <w:rFonts w:eastAsia="Times New Roman" w:cs="Times New Roman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239" w:type="dxa"/>
          </w:tcPr>
          <w:p w:rsidR="006C0C25" w:rsidRPr="006C0C25" w:rsidRDefault="006C0C25" w:rsidP="006C0C25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C0C25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t</w:t>
            </w:r>
          </w:p>
        </w:tc>
        <w:tc>
          <w:tcPr>
            <w:tcW w:w="7263" w:type="dxa"/>
          </w:tcPr>
          <w:p w:rsidR="006C0C25" w:rsidRPr="006C0C25" w:rsidRDefault="006C0C25" w:rsidP="006C0C25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C0C25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Data sesji</w:t>
            </w:r>
          </w:p>
        </w:tc>
      </w:tr>
      <w:tr w:rsidR="006C0C25" w:rsidRPr="006C0C25" w:rsidTr="00CF17ED">
        <w:tc>
          <w:tcPr>
            <w:tcW w:w="570" w:type="dxa"/>
          </w:tcPr>
          <w:p w:rsidR="006C0C25" w:rsidRPr="006C0C25" w:rsidRDefault="006C0C25" w:rsidP="006C0C25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6C0C25">
              <w:rPr>
                <w:rFonts w:eastAsia="Times New Roman" w:cs="Times New Roman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1239" w:type="dxa"/>
          </w:tcPr>
          <w:p w:rsidR="006C0C25" w:rsidRPr="006C0C25" w:rsidRDefault="006C0C25" w:rsidP="006C0C25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6C0C25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RET_HEIN</w:t>
            </w:r>
            <w:proofErr w:type="spellEnd"/>
          </w:p>
        </w:tc>
        <w:tc>
          <w:tcPr>
            <w:tcW w:w="7263" w:type="dxa"/>
          </w:tcPr>
          <w:p w:rsidR="006C0C25" w:rsidRPr="006C0C25" w:rsidRDefault="006C0C25" w:rsidP="006C0C25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r w:rsidRPr="006C0C25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 xml:space="preserve">Dzienny zwrot z inwestycji w akcje Heineken </w:t>
            </w:r>
          </w:p>
        </w:tc>
      </w:tr>
      <w:tr w:rsidR="006C0C25" w:rsidRPr="006C0C25" w:rsidTr="00CF17ED">
        <w:tc>
          <w:tcPr>
            <w:tcW w:w="570" w:type="dxa"/>
          </w:tcPr>
          <w:p w:rsidR="006C0C25" w:rsidRPr="006C0C25" w:rsidRDefault="006C0C25" w:rsidP="006C0C25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6C0C25">
              <w:rPr>
                <w:rFonts w:eastAsia="Times New Roman" w:cs="Times New Roman"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1239" w:type="dxa"/>
          </w:tcPr>
          <w:p w:rsidR="006C0C25" w:rsidRPr="006C0C25" w:rsidRDefault="006C0C25" w:rsidP="006C0C25">
            <w:pPr>
              <w:spacing w:before="0" w:after="0" w:line="240" w:lineRule="auto"/>
              <w:jc w:val="both"/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6C0C25">
              <w:rPr>
                <w:rFonts w:eastAsia="Times New Roman" w:cs="Times New Roman"/>
                <w:color w:val="000000"/>
                <w:sz w:val="20"/>
                <w:szCs w:val="20"/>
                <w:lang w:eastAsia="pl-PL"/>
              </w:rPr>
              <w:t>RET_AEX</w:t>
            </w:r>
            <w:proofErr w:type="spellEnd"/>
          </w:p>
        </w:tc>
        <w:tc>
          <w:tcPr>
            <w:tcW w:w="7263" w:type="dxa"/>
          </w:tcPr>
          <w:p w:rsidR="006C0C25" w:rsidRPr="006C0C25" w:rsidRDefault="006C0C25" w:rsidP="006C0C25">
            <w:pPr>
              <w:spacing w:before="0"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l-PL"/>
              </w:rPr>
            </w:pPr>
            <w:r w:rsidRPr="006C0C25">
              <w:rPr>
                <w:rFonts w:eastAsia="Times New Roman" w:cs="Times New Roman"/>
                <w:sz w:val="20"/>
                <w:szCs w:val="20"/>
                <w:lang w:eastAsia="pl-PL"/>
              </w:rPr>
              <w:t>Dzienny zwrot z inwestycji w i</w:t>
            </w:r>
            <w:hyperlink r:id="rId5" w:tooltip="Indeks giełdowy" w:history="1">
              <w:r w:rsidRPr="006C0C25">
                <w:rPr>
                  <w:rFonts w:eastAsia="Times New Roman" w:cs="Times New Roman"/>
                  <w:sz w:val="20"/>
                  <w:szCs w:val="20"/>
                  <w:lang w:eastAsia="pl-PL"/>
                </w:rPr>
                <w:t>ndeks giełdowy</w:t>
              </w:r>
            </w:hyperlink>
            <w:r w:rsidRPr="006C0C25">
              <w:rPr>
                <w:rFonts w:eastAsia="Times New Roman" w:cs="Times New Roman"/>
                <w:sz w:val="20"/>
                <w:szCs w:val="20"/>
                <w:lang w:eastAsia="pl-PL"/>
              </w:rPr>
              <w:t xml:space="preserve"> spółek notowanych na giełdzie w </w:t>
            </w:r>
            <w:hyperlink r:id="rId6" w:tooltip="Amsterdam" w:history="1">
              <w:r w:rsidRPr="006C0C25">
                <w:rPr>
                  <w:rFonts w:eastAsia="Times New Roman" w:cs="Times New Roman"/>
                  <w:sz w:val="20"/>
                  <w:szCs w:val="20"/>
                  <w:lang w:eastAsia="pl-PL"/>
                </w:rPr>
                <w:t>Amsterdamie</w:t>
              </w:r>
            </w:hyperlink>
            <w:r w:rsidRPr="006C0C25">
              <w:rPr>
                <w:rFonts w:eastAsia="Times New Roman" w:cs="Times New Roman"/>
                <w:sz w:val="20"/>
                <w:szCs w:val="20"/>
                <w:lang w:eastAsia="pl-PL"/>
              </w:rPr>
              <w:t xml:space="preserve"> (AEX)</w:t>
            </w:r>
          </w:p>
        </w:tc>
      </w:tr>
    </w:tbl>
    <w:p w:rsidR="00DF74AE" w:rsidRDefault="00DF74AE"/>
    <w:sectPr w:rsidR="00DF74AE" w:rsidSect="00DF7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hyphenationZone w:val="425"/>
  <w:characterSpacingControl w:val="doNotCompress"/>
  <w:compat/>
  <w:docVars>
    <w:docVar w:name="_AMO_XmlVersion" w:val="Empty"/>
  </w:docVars>
  <w:rsids>
    <w:rsidRoot w:val="006C0C25"/>
    <w:rsid w:val="0011072F"/>
    <w:rsid w:val="001E4A9A"/>
    <w:rsid w:val="00261906"/>
    <w:rsid w:val="00281284"/>
    <w:rsid w:val="002839CD"/>
    <w:rsid w:val="002B4020"/>
    <w:rsid w:val="002F5A64"/>
    <w:rsid w:val="00313762"/>
    <w:rsid w:val="003518C1"/>
    <w:rsid w:val="003A1B5F"/>
    <w:rsid w:val="003E7240"/>
    <w:rsid w:val="00512ABD"/>
    <w:rsid w:val="0064082E"/>
    <w:rsid w:val="0064601C"/>
    <w:rsid w:val="006C0C25"/>
    <w:rsid w:val="007831B9"/>
    <w:rsid w:val="007D4A3D"/>
    <w:rsid w:val="008726B6"/>
    <w:rsid w:val="00905F80"/>
    <w:rsid w:val="00932084"/>
    <w:rsid w:val="009D5AE7"/>
    <w:rsid w:val="00B55C65"/>
    <w:rsid w:val="00C80DDA"/>
    <w:rsid w:val="00CB610C"/>
    <w:rsid w:val="00D375C7"/>
    <w:rsid w:val="00DD28B5"/>
    <w:rsid w:val="00DF74AE"/>
    <w:rsid w:val="00E241E9"/>
    <w:rsid w:val="00E5579A"/>
    <w:rsid w:val="00F3448B"/>
    <w:rsid w:val="00F37D3C"/>
    <w:rsid w:val="00F73B0D"/>
    <w:rsid w:val="00F95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81284"/>
    <w:pPr>
      <w:spacing w:before="120" w:after="120" w:line="360" w:lineRule="auto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81284"/>
    <w:pPr>
      <w:keepNext/>
      <w:keepLines/>
      <w:spacing w:before="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81284"/>
    <w:pPr>
      <w:keepNext/>
      <w:keepLines/>
      <w:spacing w:before="0" w:after="0" w:line="240" w:lineRule="auto"/>
      <w:ind w:left="284"/>
      <w:outlineLvl w:val="1"/>
    </w:pPr>
    <w:rPr>
      <w:rFonts w:eastAsiaTheme="majorEastAsia" w:cstheme="majorBidi"/>
      <w:b/>
      <w:bCs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81284"/>
    <w:pPr>
      <w:keepNext/>
      <w:keepLines/>
      <w:spacing w:before="0" w:after="0" w:line="240" w:lineRule="auto"/>
      <w:ind w:left="567"/>
      <w:outlineLvl w:val="2"/>
    </w:pPr>
    <w:rPr>
      <w:rFonts w:eastAsiaTheme="majorEastAsia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2812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81284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281284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81284"/>
    <w:rPr>
      <w:rFonts w:ascii="Times New Roman" w:eastAsiaTheme="majorEastAsia" w:hAnsi="Times New Roman" w:cstheme="majorBidi"/>
      <w:b/>
      <w:bCs/>
      <w:sz w:val="24"/>
    </w:rPr>
  </w:style>
  <w:style w:type="paragraph" w:styleId="Nagwekspisutreci">
    <w:name w:val="TOC Heading"/>
    <w:basedOn w:val="Nagwek1"/>
    <w:next w:val="Normalny"/>
    <w:link w:val="NagwekspisutreciZnak"/>
    <w:uiPriority w:val="39"/>
    <w:semiHidden/>
    <w:unhideWhenUsed/>
    <w:qFormat/>
    <w:rsid w:val="00281284"/>
    <w:pPr>
      <w:spacing w:line="276" w:lineRule="auto"/>
      <w:outlineLvl w:val="9"/>
    </w:pPr>
  </w:style>
  <w:style w:type="character" w:customStyle="1" w:styleId="NagwekspisutreciZnak">
    <w:name w:val="Nagłówek spisu treści Znak"/>
    <w:basedOn w:val="Nagwek1Znak"/>
    <w:link w:val="Nagwekspisutreci"/>
    <w:uiPriority w:val="39"/>
    <w:semiHidden/>
    <w:rsid w:val="00281284"/>
  </w:style>
  <w:style w:type="paragraph" w:customStyle="1" w:styleId="MStyl">
    <w:name w:val="MStyl"/>
    <w:basedOn w:val="Normalny"/>
    <w:link w:val="MStylZnak"/>
    <w:rsid w:val="00261906"/>
  </w:style>
  <w:style w:type="character" w:customStyle="1" w:styleId="MStylZnak">
    <w:name w:val="MStyl Znak"/>
    <w:basedOn w:val="NagwekspisutreciZnak"/>
    <w:link w:val="MStyl"/>
    <w:rsid w:val="00261906"/>
    <w:rPr>
      <w:rFonts w:ascii="Times New Roman" w:hAnsi="Times New Roman"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28128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Legenda">
    <w:name w:val="caption"/>
    <w:basedOn w:val="Normalny"/>
    <w:next w:val="Normalny"/>
    <w:uiPriority w:val="35"/>
    <w:unhideWhenUsed/>
    <w:qFormat/>
    <w:rsid w:val="00281284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Bezodstpw">
    <w:name w:val="No Spacing"/>
    <w:uiPriority w:val="1"/>
    <w:qFormat/>
    <w:rsid w:val="00281284"/>
    <w:pPr>
      <w:spacing w:after="0" w:line="240" w:lineRule="auto"/>
    </w:pPr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281284"/>
    <w:pPr>
      <w:ind w:left="720"/>
      <w:contextualSpacing/>
    </w:pPr>
  </w:style>
  <w:style w:type="character" w:styleId="Wyrnieniedelikatne">
    <w:name w:val="Subtle Emphasis"/>
    <w:basedOn w:val="Domylnaczcionkaakapitu"/>
    <w:uiPriority w:val="19"/>
    <w:qFormat/>
    <w:rsid w:val="00281284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pl.wikipedia.org/wiki/Amsterdam" TargetMode="External"/><Relationship Id="rId5" Type="http://schemas.openxmlformats.org/officeDocument/2006/relationships/hyperlink" Target="http://pl.wikipedia.org/wiki/Indeks_gie%C5%82dow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87B239F-AB9D-4FD1-8601-244AAD00B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624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2</cp:revision>
  <dcterms:created xsi:type="dcterms:W3CDTF">2012-08-01T14:17:00Z</dcterms:created>
  <dcterms:modified xsi:type="dcterms:W3CDTF">2012-08-30T09:50:00Z</dcterms:modified>
</cp:coreProperties>
</file>