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217" w:rsidRPr="00A819CB" w:rsidRDefault="00D87217" w:rsidP="00D87217">
      <w:pPr>
        <w:rPr>
          <w:rFonts w:ascii="Times New Roman" w:hAnsi="Times New Roman"/>
          <w:b/>
          <w:sz w:val="24"/>
          <w:szCs w:val="24"/>
          <w:lang w:val="en-GB"/>
        </w:rPr>
      </w:pPr>
      <w:bookmarkStart w:id="0" w:name="_GoBack"/>
      <w:bookmarkEnd w:id="0"/>
      <w:r w:rsidRPr="00A819CB">
        <w:rPr>
          <w:rFonts w:ascii="Times New Roman" w:hAnsi="Times New Roman"/>
          <w:b/>
          <w:sz w:val="24"/>
          <w:szCs w:val="24"/>
          <w:lang w:val="en-GB"/>
        </w:rPr>
        <w:t>Example 1</w:t>
      </w:r>
      <w:r w:rsidR="005F405F">
        <w:rPr>
          <w:rFonts w:ascii="Times New Roman" w:hAnsi="Times New Roman"/>
          <w:b/>
          <w:sz w:val="24"/>
          <w:szCs w:val="24"/>
          <w:lang w:val="en-GB"/>
        </w:rPr>
        <w:t xml:space="preserve">. ANALIZA WARIANCJI </w:t>
      </w:r>
    </w:p>
    <w:p w:rsidR="00D87217" w:rsidRPr="00D87217" w:rsidRDefault="00D87217" w:rsidP="00D87217">
      <w:pPr>
        <w:spacing w:after="0" w:line="360" w:lineRule="auto"/>
        <w:ind w:firstLine="709"/>
        <w:jc w:val="both"/>
        <w:rPr>
          <w:rFonts w:ascii="Times New Roman" w:hAnsi="Times New Roman"/>
          <w:sz w:val="24"/>
          <w:szCs w:val="24"/>
          <w:lang w:val="en-US"/>
        </w:rPr>
      </w:pPr>
      <w:r w:rsidRPr="00D87217">
        <w:rPr>
          <w:rFonts w:ascii="Times New Roman" w:hAnsi="Times New Roman"/>
          <w:sz w:val="24"/>
          <w:szCs w:val="24"/>
          <w:lang w:val="en-US"/>
        </w:rPr>
        <w:t>Joyce Theobold is a manager of a regional banking center. She wants to compare the productivity among four employees, as measured by the number of customers served. For each employee the number of customers is recorded in five randomly selected days. The results are presented in table 1. For calculation use data set anova_example_1.</w:t>
      </w:r>
    </w:p>
    <w:p w:rsidR="00D87217" w:rsidRPr="00D87217" w:rsidRDefault="00D87217" w:rsidP="00D87217">
      <w:pPr>
        <w:spacing w:after="0" w:line="360" w:lineRule="auto"/>
        <w:jc w:val="both"/>
        <w:rPr>
          <w:rFonts w:ascii="Times New Roman" w:hAnsi="Times New Roman"/>
          <w:b/>
          <w:sz w:val="24"/>
          <w:szCs w:val="24"/>
          <w:lang w:val="en-US"/>
        </w:rPr>
      </w:pPr>
      <w:r w:rsidRPr="00D87217">
        <w:rPr>
          <w:rFonts w:ascii="Times New Roman" w:hAnsi="Times New Roman"/>
          <w:b/>
          <w:sz w:val="24"/>
          <w:szCs w:val="24"/>
          <w:lang w:val="en-US"/>
        </w:rPr>
        <w:t>Table 1. Number of customers served.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303"/>
        <w:gridCol w:w="2303"/>
        <w:gridCol w:w="2303"/>
      </w:tblGrid>
      <w:tr w:rsidR="00D87217" w:rsidRPr="00A819CB" w:rsidTr="00206F60">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John</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Eva</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Jack</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Suzan</w:t>
            </w:r>
          </w:p>
        </w:tc>
      </w:tr>
      <w:tr w:rsidR="00D87217" w:rsidRPr="00A819CB" w:rsidTr="00206F60">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55</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66</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47</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76</w:t>
            </w:r>
          </w:p>
        </w:tc>
      </w:tr>
      <w:tr w:rsidR="00D87217" w:rsidRPr="00A819CB" w:rsidTr="00206F60">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54</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76</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51</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81</w:t>
            </w:r>
          </w:p>
        </w:tc>
      </w:tr>
      <w:tr w:rsidR="00D87217" w:rsidRPr="00A819CB" w:rsidTr="00206F60">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59</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67</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46</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76</w:t>
            </w:r>
          </w:p>
        </w:tc>
      </w:tr>
      <w:tr w:rsidR="00D87217" w:rsidRPr="00A819CB" w:rsidTr="00206F60">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56</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71</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48</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79</w:t>
            </w:r>
          </w:p>
        </w:tc>
      </w:tr>
      <w:tr w:rsidR="00D87217" w:rsidRPr="00A819CB" w:rsidTr="00206F60">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56</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69</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49</w:t>
            </w:r>
          </w:p>
        </w:tc>
        <w:tc>
          <w:tcPr>
            <w:tcW w:w="2303" w:type="dxa"/>
            <w:vAlign w:val="center"/>
          </w:tcPr>
          <w:p w:rsidR="00D87217" w:rsidRPr="00A819CB" w:rsidRDefault="00D87217" w:rsidP="00206F60">
            <w:pPr>
              <w:jc w:val="center"/>
              <w:rPr>
                <w:rFonts w:ascii="Times New Roman" w:hAnsi="Times New Roman"/>
                <w:sz w:val="24"/>
                <w:szCs w:val="24"/>
              </w:rPr>
            </w:pPr>
            <w:r w:rsidRPr="00A819CB">
              <w:rPr>
                <w:rFonts w:ascii="Times New Roman" w:hAnsi="Times New Roman"/>
                <w:sz w:val="24"/>
                <w:szCs w:val="24"/>
              </w:rPr>
              <w:t>78</w:t>
            </w:r>
          </w:p>
        </w:tc>
      </w:tr>
    </w:tbl>
    <w:p w:rsidR="00D87217" w:rsidRPr="00A819CB" w:rsidRDefault="00D87217" w:rsidP="00D87217">
      <w:pPr>
        <w:rPr>
          <w:rFonts w:ascii="Times New Roman" w:hAnsi="Times New Roman"/>
          <w:b/>
          <w:sz w:val="24"/>
          <w:szCs w:val="24"/>
        </w:rPr>
      </w:pPr>
      <w:r w:rsidRPr="00A819CB">
        <w:rPr>
          <w:rFonts w:ascii="Times New Roman" w:hAnsi="Times New Roman"/>
          <w:b/>
          <w:sz w:val="24"/>
          <w:szCs w:val="24"/>
        </w:rPr>
        <w:t>Source:</w:t>
      </w:r>
    </w:p>
    <w:p w:rsidR="00D87217" w:rsidRPr="00D87217" w:rsidRDefault="00D87217" w:rsidP="00D87217">
      <w:pPr>
        <w:spacing w:after="0" w:line="360" w:lineRule="auto"/>
        <w:ind w:firstLine="709"/>
        <w:jc w:val="both"/>
        <w:rPr>
          <w:rFonts w:ascii="Times New Roman" w:hAnsi="Times New Roman"/>
          <w:sz w:val="24"/>
          <w:szCs w:val="24"/>
          <w:lang w:val="en-US"/>
        </w:rPr>
      </w:pPr>
      <w:r w:rsidRPr="00D87217">
        <w:rPr>
          <w:rFonts w:ascii="Times New Roman" w:hAnsi="Times New Roman"/>
          <w:sz w:val="24"/>
          <w:szCs w:val="24"/>
          <w:lang w:val="en-US"/>
        </w:rPr>
        <w:t xml:space="preserve">Is there a difference in the average number of customers served? One-way variance analysis will provide an answer for this question. The populations follow the normal distribution with the same variation in each population. Note that the means are </w:t>
      </w:r>
      <w:r w:rsidRPr="00D87217">
        <w:rPr>
          <w:rFonts w:ascii="Times New Roman" w:hAnsi="Times New Roman"/>
          <w:i/>
          <w:sz w:val="24"/>
          <w:szCs w:val="24"/>
          <w:lang w:val="en-US"/>
        </w:rPr>
        <w:t>not</w:t>
      </w:r>
      <w:r w:rsidRPr="00D87217">
        <w:rPr>
          <w:rFonts w:ascii="Times New Roman" w:hAnsi="Times New Roman"/>
          <w:sz w:val="24"/>
          <w:szCs w:val="24"/>
          <w:lang w:val="en-US"/>
        </w:rPr>
        <w:t xml:space="preserve"> the same.</w:t>
      </w:r>
    </w:p>
    <w:p w:rsidR="00D87217" w:rsidRPr="00D87217" w:rsidRDefault="00D87217" w:rsidP="00D87217">
      <w:pPr>
        <w:spacing w:after="0" w:line="360" w:lineRule="auto"/>
        <w:ind w:firstLine="709"/>
        <w:jc w:val="both"/>
        <w:rPr>
          <w:rFonts w:ascii="Times New Roman" w:hAnsi="Times New Roman"/>
          <w:sz w:val="24"/>
          <w:szCs w:val="24"/>
          <w:lang w:val="en-US"/>
        </w:rPr>
      </w:pPr>
      <w:r w:rsidRPr="00D87217">
        <w:rPr>
          <w:rFonts w:ascii="Times New Roman" w:hAnsi="Times New Roman"/>
          <w:sz w:val="24"/>
          <w:szCs w:val="24"/>
          <w:lang w:val="en-US"/>
        </w:rPr>
        <w:t>Suppose the populations are the same. That is, there is no difference in the (treatment) means. Note again that the populations follow the normal distribution and the variation in each of the populations is the same.</w:t>
      </w:r>
    </w:p>
    <w:p w:rsidR="00D87217" w:rsidRPr="00D87217" w:rsidRDefault="00D87217">
      <w:pPr>
        <w:rPr>
          <w:lang w:val="en-US"/>
        </w:rPr>
      </w:pPr>
    </w:p>
    <w:sectPr w:rsidR="00D87217" w:rsidRPr="00D872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Empty"/>
  </w:docVars>
  <w:rsids>
    <w:rsidRoot w:val="00D87217"/>
    <w:rsid w:val="005F405F"/>
    <w:rsid w:val="008A5E75"/>
    <w:rsid w:val="00C04C0C"/>
    <w:rsid w:val="00D872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139</Words>
  <Characters>837</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SGH</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 Zofia FRĄTCZAK</dc:creator>
  <cp:lastModifiedBy>Ewa Zofia FRĄTCZAK</cp:lastModifiedBy>
  <cp:revision>3</cp:revision>
  <cp:lastPrinted>2014-10-27T10:04:00Z</cp:lastPrinted>
  <dcterms:created xsi:type="dcterms:W3CDTF">2014-10-27T10:03:00Z</dcterms:created>
  <dcterms:modified xsi:type="dcterms:W3CDTF">2016-04-13T14:15:00Z</dcterms:modified>
</cp:coreProperties>
</file>