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38302" w14:textId="3BE0744B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24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5C2DC7">
        <w:rPr>
          <w:rFonts w:ascii="HYHeadLine-Medium" w:eastAsia="HYHeadLine-Medium" w:hint="eastAsia"/>
          <w:sz w:val="40"/>
        </w:rPr>
        <w:t>2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13FA2D02" w:rsidR="00DF1B29" w:rsidRDefault="005C2DC7" w:rsidP="00784A08">
            <w:pPr>
              <w:pStyle w:val="a"/>
              <w:spacing w:line="240" w:lineRule="auto"/>
              <w:rPr>
                <w:rFonts w:ascii="Malgun Gothic" w:eastAsia="Malgun Gothic" w:hint="eastAsia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생활법률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00B46CA" w14:textId="77777777" w:rsidR="00C70213" w:rsidRDefault="00C70213" w:rsidP="00D15495">
      <w:pPr>
        <w:pStyle w:val="a"/>
        <w:rPr>
          <w:rFonts w:asciiTheme="minorHAnsi" w:eastAsiaTheme="minorHAnsi"/>
          <w:sz w:val="22"/>
        </w:rPr>
      </w:pPr>
    </w:p>
    <w:p w14:paraId="69C148C2" w14:textId="77777777" w:rsidR="00C70213" w:rsidRDefault="00C70213" w:rsidP="00D15495">
      <w:pPr>
        <w:pStyle w:val="a"/>
        <w:rPr>
          <w:rFonts w:asciiTheme="minorHAnsi" w:eastAsiaTheme="minorHAnsi"/>
          <w:sz w:val="22"/>
        </w:rPr>
      </w:pPr>
    </w:p>
    <w:p w14:paraId="2E521B8B" w14:textId="7BA7A712" w:rsidR="00D9024A" w:rsidRPr="00AB1B6A" w:rsidRDefault="00C0026F" w:rsidP="00C70213">
      <w:pPr>
        <w:pStyle w:val="a"/>
        <w:jc w:val="center"/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목차</w:t>
      </w:r>
    </w:p>
    <w:p w14:paraId="2FAD67DA" w14:textId="77777777" w:rsidR="00C0026F" w:rsidRDefault="00C0026F" w:rsidP="00D15495">
      <w:pPr>
        <w:pStyle w:val="a"/>
        <w:rPr>
          <w:rFonts w:asciiTheme="minorHAnsi" w:eastAsiaTheme="minorHAnsi"/>
          <w:sz w:val="22"/>
        </w:rPr>
      </w:pPr>
    </w:p>
    <w:p w14:paraId="09DF76F0" w14:textId="680C7619" w:rsidR="00C0026F" w:rsidRPr="00AB1B6A" w:rsidRDefault="00C0026F" w:rsidP="00C0026F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사건 개요</w:t>
      </w:r>
    </w:p>
    <w:p w14:paraId="5B960961" w14:textId="7F8F2272" w:rsidR="00C0026F" w:rsidRPr="00AB1B6A" w:rsidRDefault="00C0026F" w:rsidP="00C0026F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쟁점 사항</w:t>
      </w:r>
    </w:p>
    <w:p w14:paraId="1BFF857E" w14:textId="32C041C6" w:rsidR="00C0026F" w:rsidRPr="00AB1B6A" w:rsidRDefault="00C55919" w:rsidP="00C0026F">
      <w:pPr>
        <w:pStyle w:val="a"/>
        <w:numPr>
          <w:ilvl w:val="1"/>
          <w:numId w:val="13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甲이 乙을 상대로 한 손해배상 청구의 근거 및 인용 가능성</w:t>
      </w:r>
    </w:p>
    <w:p w14:paraId="0E4E13A4" w14:textId="48895D66" w:rsidR="00C55919" w:rsidRPr="00AB1B6A" w:rsidRDefault="00C55919" w:rsidP="00AA486E">
      <w:pPr>
        <w:pStyle w:val="a"/>
        <w:numPr>
          <w:ilvl w:val="1"/>
          <w:numId w:val="13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 xml:space="preserve">甲의 부인 </w:t>
      </w:r>
      <w:r w:rsidR="00E86BA4" w:rsidRPr="00AB1B6A">
        <w:rPr>
          <w:rFonts w:asciiTheme="minorHAnsi" w:eastAsiaTheme="minorHAnsi" w:hint="eastAsia"/>
          <w:b/>
          <w:bCs/>
          <w:sz w:val="22"/>
        </w:rPr>
        <w:t>丙이 乙을 상대로 한 손해배상 청구의 근거 및 인용 가능성</w:t>
      </w:r>
    </w:p>
    <w:p w14:paraId="6194C642" w14:textId="492C6FBA" w:rsidR="00E86BA4" w:rsidRPr="00AB1B6A" w:rsidRDefault="00E86BA4" w:rsidP="00E86BA4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법적 검토 및 판례 분석</w:t>
      </w:r>
    </w:p>
    <w:p w14:paraId="187B9B13" w14:textId="67361612" w:rsidR="00E86BA4" w:rsidRPr="00AB1B6A" w:rsidRDefault="00E86BA4" w:rsidP="00E86BA4">
      <w:pPr>
        <w:pStyle w:val="a"/>
        <w:numPr>
          <w:ilvl w:val="0"/>
          <w:numId w:val="13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결론</w:t>
      </w:r>
    </w:p>
    <w:p w14:paraId="2271E390" w14:textId="77777777" w:rsidR="00E86BA4" w:rsidRDefault="00E86BA4" w:rsidP="00E86BA4">
      <w:pPr>
        <w:pStyle w:val="a"/>
        <w:rPr>
          <w:rFonts w:asciiTheme="minorHAnsi" w:eastAsiaTheme="minorHAnsi"/>
          <w:sz w:val="22"/>
        </w:rPr>
      </w:pPr>
    </w:p>
    <w:p w14:paraId="43398678" w14:textId="37D2380B" w:rsidR="00E86BA4" w:rsidRPr="00AB1B6A" w:rsidRDefault="00692C4C" w:rsidP="00417C61">
      <w:pPr>
        <w:pStyle w:val="a"/>
        <w:jc w:val="center"/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참고자료</w:t>
      </w:r>
    </w:p>
    <w:p w14:paraId="652CC45C" w14:textId="15629071" w:rsidR="00692C4C" w:rsidRDefault="00692C4C" w:rsidP="00417C61">
      <w:pPr>
        <w:pStyle w:val="a"/>
        <w:numPr>
          <w:ilvl w:val="0"/>
          <w:numId w:val="16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방송통신대학교 생활법률 멀티미디어 강의</w:t>
      </w:r>
    </w:p>
    <w:p w14:paraId="598E27FE" w14:textId="77777777" w:rsidR="00A17FDE" w:rsidRPr="00A17FDE" w:rsidRDefault="00A17FDE" w:rsidP="00417C61">
      <w:pPr>
        <w:pStyle w:val="a"/>
        <w:numPr>
          <w:ilvl w:val="0"/>
          <w:numId w:val="16"/>
        </w:numPr>
        <w:rPr>
          <w:rFonts w:eastAsiaTheme="minorHAnsi"/>
          <w:sz w:val="22"/>
        </w:rPr>
      </w:pPr>
      <w:r w:rsidRPr="00A17FDE">
        <w:rPr>
          <w:rFonts w:eastAsiaTheme="minorHAnsi"/>
          <w:sz w:val="22"/>
        </w:rPr>
        <w:t>대법원</w:t>
      </w:r>
      <w:r w:rsidRPr="00A17FDE">
        <w:rPr>
          <w:rFonts w:eastAsiaTheme="minorHAnsi"/>
          <w:sz w:val="22"/>
        </w:rPr>
        <w:t xml:space="preserve"> 2023. 11. 2. </w:t>
      </w:r>
      <w:r w:rsidRPr="00A17FDE">
        <w:rPr>
          <w:rFonts w:eastAsiaTheme="minorHAnsi"/>
          <w:sz w:val="22"/>
        </w:rPr>
        <w:t>선고</w:t>
      </w:r>
      <w:r w:rsidRPr="00A17FDE">
        <w:rPr>
          <w:rFonts w:eastAsiaTheme="minorHAnsi"/>
          <w:sz w:val="22"/>
        </w:rPr>
        <w:t xml:space="preserve"> 2023</w:t>
      </w:r>
      <w:r w:rsidRPr="00A17FDE">
        <w:rPr>
          <w:rFonts w:eastAsiaTheme="minorHAnsi"/>
          <w:sz w:val="22"/>
        </w:rPr>
        <w:t>다</w:t>
      </w:r>
      <w:r w:rsidRPr="00A17FDE">
        <w:rPr>
          <w:rFonts w:eastAsiaTheme="minorHAnsi"/>
          <w:sz w:val="22"/>
        </w:rPr>
        <w:t xml:space="preserve">244895 </w:t>
      </w:r>
      <w:r w:rsidRPr="00A17FDE">
        <w:rPr>
          <w:rFonts w:eastAsiaTheme="minorHAnsi"/>
          <w:sz w:val="22"/>
        </w:rPr>
        <w:t>판결</w:t>
      </w:r>
    </w:p>
    <w:p w14:paraId="0A5B1A34" w14:textId="15C5B16C" w:rsidR="00E86BA4" w:rsidRDefault="00A17FDE" w:rsidP="00417C61">
      <w:pPr>
        <w:pStyle w:val="a"/>
        <w:numPr>
          <w:ilvl w:val="0"/>
          <w:numId w:val="16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관련 판결 기사(</w:t>
      </w:r>
      <w:r w:rsidR="001803D4" w:rsidRPr="001803D4">
        <w:rPr>
          <w:rFonts w:asciiTheme="minorHAnsi" w:eastAsiaTheme="minorHAnsi"/>
          <w:sz w:val="22"/>
        </w:rPr>
        <w:t>https://news.koreanbar.or.kr/news/articleView.html?idxno=29276</w:t>
      </w:r>
      <w:r w:rsidR="001803D4">
        <w:rPr>
          <w:rFonts w:asciiTheme="minorHAnsi" w:eastAsiaTheme="minorHAnsi" w:hint="eastAsia"/>
          <w:sz w:val="22"/>
        </w:rPr>
        <w:t>)</w:t>
      </w:r>
    </w:p>
    <w:p w14:paraId="4AB00E00" w14:textId="15ADFCBD" w:rsidR="00E86BA4" w:rsidRPr="00AB1B6A" w:rsidRDefault="00E86BA4" w:rsidP="00E86BA4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lastRenderedPageBreak/>
        <w:t>사건 개요</w:t>
      </w:r>
    </w:p>
    <w:p w14:paraId="0E69E489" w14:textId="499FE882" w:rsidR="00E86BA4" w:rsidRDefault="00695B8E" w:rsidP="00E86BA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본 사건의 甲이 乙이 운영하는 숙박업소에 투숙하는 과정에서 발생한 갑작스러운 </w:t>
      </w:r>
      <w:r w:rsidR="00711E0D">
        <w:rPr>
          <w:rFonts w:asciiTheme="minorHAnsi" w:eastAsiaTheme="minorHAnsi" w:hint="eastAsia"/>
          <w:sz w:val="22"/>
        </w:rPr>
        <w:t xml:space="preserve">화재로 인하여 甲이 사망한 사건에 관한 것입니다. 사건 당시, 甲은 </w:t>
      </w:r>
      <w:r w:rsidR="00451FCF">
        <w:rPr>
          <w:rFonts w:asciiTheme="minorHAnsi" w:eastAsiaTheme="minorHAnsi" w:hint="eastAsia"/>
          <w:sz w:val="22"/>
        </w:rPr>
        <w:t>숙박업소 주인 乙과의 계약을 통해 숙박요금을 지급하고 정상적으로 방을 배정받아 휴식하던 중</w:t>
      </w:r>
      <w:r w:rsidR="006571E8">
        <w:rPr>
          <w:rFonts w:asciiTheme="minorHAnsi" w:eastAsiaTheme="minorHAnsi" w:hint="eastAsia"/>
          <w:sz w:val="22"/>
        </w:rPr>
        <w:t>의 화재로 인해 현장에서 즉사하게 되었습니다. 甲에게는 직계존속이나 직계비속이 없으며, 배우자인 丙</w:t>
      </w:r>
      <w:r w:rsidR="00371AA8">
        <w:rPr>
          <w:rFonts w:asciiTheme="minorHAnsi" w:eastAsiaTheme="minorHAnsi" w:hint="eastAsia"/>
          <w:sz w:val="22"/>
        </w:rPr>
        <w:t>이 유일한 유족입니다.</w:t>
      </w:r>
    </w:p>
    <w:p w14:paraId="35C5F7EB" w14:textId="77777777" w:rsidR="00371AA8" w:rsidRDefault="00371AA8" w:rsidP="00E86BA4">
      <w:pPr>
        <w:pStyle w:val="a"/>
        <w:ind w:left="720"/>
        <w:rPr>
          <w:rFonts w:asciiTheme="minorHAnsi" w:eastAsiaTheme="minorHAnsi"/>
          <w:sz w:val="22"/>
        </w:rPr>
      </w:pPr>
    </w:p>
    <w:p w14:paraId="0FD72E77" w14:textId="19286AE5" w:rsidR="006479CD" w:rsidRPr="00AB1B6A" w:rsidRDefault="006479CD" w:rsidP="006479CD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쟁점 사항</w:t>
      </w:r>
    </w:p>
    <w:p w14:paraId="0A74FA43" w14:textId="56DD4836" w:rsidR="00F556E1" w:rsidRPr="00AB1B6A" w:rsidRDefault="006479CD" w:rsidP="00F556E1">
      <w:pPr>
        <w:pStyle w:val="a"/>
        <w:numPr>
          <w:ilvl w:val="1"/>
          <w:numId w:val="14"/>
        </w:numPr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甲</w:t>
      </w:r>
      <w:r w:rsidR="0011140B" w:rsidRPr="00AB1B6A">
        <w:rPr>
          <w:rFonts w:asciiTheme="minorHAnsi" w:eastAsiaTheme="minorHAnsi" w:hint="eastAsia"/>
          <w:b/>
          <w:bCs/>
          <w:sz w:val="22"/>
        </w:rPr>
        <w:t>이 乙을 상대로 손해배상을 청구하는 경우</w:t>
      </w:r>
    </w:p>
    <w:p w14:paraId="48DF5DF9" w14:textId="372BAFE0" w:rsidR="00F556E1" w:rsidRPr="00AB1B6A" w:rsidRDefault="00F556E1" w:rsidP="00F556E1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AB1B6A">
        <w:rPr>
          <w:rFonts w:asciiTheme="minorHAnsi" w:eastAsiaTheme="minorHAnsi" w:hint="eastAsia"/>
          <w:b/>
          <w:bCs/>
          <w:sz w:val="22"/>
        </w:rPr>
        <w:t>청구의 근거</w:t>
      </w:r>
    </w:p>
    <w:p w14:paraId="004801AF" w14:textId="060A4911" w:rsidR="00F556E1" w:rsidRDefault="00F556E1" w:rsidP="00F556E1">
      <w:pPr>
        <w:pStyle w:val="a"/>
        <w:ind w:left="80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甲은 乙의 </w:t>
      </w:r>
      <w:r w:rsidR="00C07208">
        <w:rPr>
          <w:rFonts w:asciiTheme="minorHAnsi" w:eastAsiaTheme="minorHAnsi" w:hint="eastAsia"/>
          <w:sz w:val="22"/>
        </w:rPr>
        <w:t xml:space="preserve">숙박업소에 투숙하면서 숙박요금을 지급하여 그 서비스에 대한 계약을 체결하였고, 그에 따른 적절한 </w:t>
      </w:r>
      <w:r w:rsidR="00336198">
        <w:rPr>
          <w:rFonts w:asciiTheme="minorHAnsi" w:eastAsiaTheme="minorHAnsi" w:hint="eastAsia"/>
          <w:sz w:val="22"/>
        </w:rPr>
        <w:t xml:space="preserve">안전을 보장받을 권리가 있었습니다. </w:t>
      </w:r>
      <w:r w:rsidR="00885987">
        <w:rPr>
          <w:rFonts w:asciiTheme="minorHAnsi" w:eastAsiaTheme="minorHAnsi" w:hint="eastAsia"/>
          <w:sz w:val="22"/>
        </w:rPr>
        <w:t>여기서 발생한 화재에 대하여 乙이 화재 예방 의무를 다하지 아니했거나,</w:t>
      </w:r>
      <w:r w:rsidR="003F3E47">
        <w:rPr>
          <w:rFonts w:asciiTheme="minorHAnsi" w:eastAsiaTheme="minorHAnsi" w:hint="eastAsia"/>
          <w:sz w:val="22"/>
        </w:rPr>
        <w:t xml:space="preserve"> </w:t>
      </w:r>
      <w:r w:rsidR="001D2ABA">
        <w:rPr>
          <w:rFonts w:asciiTheme="minorHAnsi" w:eastAsiaTheme="minorHAnsi" w:hint="eastAsia"/>
          <w:sz w:val="22"/>
        </w:rPr>
        <w:t>화재 발생 시 고객의 안전을 위한 조치를 적절히 수행하지 아니했다면, 이것은 민법 제750조의 불법행위에 해당할 가능성이 있</w:t>
      </w:r>
      <w:r w:rsidR="003F3E47">
        <w:rPr>
          <w:rFonts w:asciiTheme="minorHAnsi" w:eastAsiaTheme="minorHAnsi" w:hint="eastAsia"/>
          <w:sz w:val="22"/>
        </w:rPr>
        <w:t>으며, 민법 제390조의 채무불이행에 해당할 수 있습니다.</w:t>
      </w:r>
    </w:p>
    <w:p w14:paraId="304FDF7F" w14:textId="77777777" w:rsidR="005A1F16" w:rsidRDefault="005A1F16" w:rsidP="00F556E1">
      <w:pPr>
        <w:pStyle w:val="a"/>
        <w:ind w:left="800"/>
        <w:rPr>
          <w:rFonts w:asciiTheme="minorHAnsi" w:eastAsiaTheme="minorHAnsi"/>
          <w:sz w:val="22"/>
        </w:rPr>
      </w:pPr>
    </w:p>
    <w:p w14:paraId="5BFB6680" w14:textId="0D556B03" w:rsidR="001D2ABA" w:rsidRPr="00C5215D" w:rsidRDefault="00B9415D" w:rsidP="00F556E1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C5215D">
        <w:rPr>
          <w:rFonts w:asciiTheme="minorHAnsi" w:eastAsiaTheme="minorHAnsi" w:hint="eastAsia"/>
          <w:b/>
          <w:bCs/>
          <w:sz w:val="22"/>
        </w:rPr>
        <w:t>인용 가능성</w:t>
      </w:r>
    </w:p>
    <w:p w14:paraId="3E7DEA48" w14:textId="3DF27B91" w:rsidR="00B9415D" w:rsidRDefault="00B9415D" w:rsidP="00B9415D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만약 乙이 숙박업소의 화재안전점검 행위를 안일하고 소홀히 하였거나, 화재 발생시 고객의 대피 안내 및 대피 시설이 부족한 상태였다면, 이는 민법 </w:t>
      </w:r>
      <w:r w:rsidR="00D42E9A">
        <w:rPr>
          <w:rFonts w:asciiTheme="minorHAnsi" w:eastAsiaTheme="minorHAnsi" w:hint="eastAsia"/>
          <w:sz w:val="22"/>
        </w:rPr>
        <w:t>제</w:t>
      </w:r>
      <w:r w:rsidR="00D42E9A">
        <w:rPr>
          <w:rFonts w:asciiTheme="minorHAnsi" w:eastAsiaTheme="minorHAnsi"/>
          <w:sz w:val="22"/>
        </w:rPr>
        <w:t>750</w:t>
      </w:r>
      <w:r>
        <w:rPr>
          <w:rFonts w:asciiTheme="minorHAnsi" w:eastAsiaTheme="minorHAnsi" w:hint="eastAsia"/>
          <w:sz w:val="22"/>
        </w:rPr>
        <w:t>조의 불법행위</w:t>
      </w:r>
      <w:r w:rsidR="00A20B3B">
        <w:rPr>
          <w:rFonts w:asciiTheme="minorHAnsi" w:eastAsiaTheme="minorHAnsi" w:hint="eastAsia"/>
          <w:sz w:val="22"/>
        </w:rPr>
        <w:t>와 민법 제390조 채무불이행에 의한</w:t>
      </w:r>
      <w:r>
        <w:rPr>
          <w:rFonts w:asciiTheme="minorHAnsi" w:eastAsiaTheme="minorHAnsi" w:hint="eastAsia"/>
          <w:sz w:val="22"/>
        </w:rPr>
        <w:t xml:space="preserve"> 손해배상 청구가 인용될 수 있습니다.</w:t>
      </w:r>
    </w:p>
    <w:p w14:paraId="3BCC482A" w14:textId="7555C138" w:rsidR="005A1F16" w:rsidRDefault="00D42E9A" w:rsidP="00B9415D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乙이 관리상의 주의 의무를 위반하지 않았다면, 책임이 면제될 여지가 있지만, 숙박</w:t>
      </w:r>
      <w:r>
        <w:rPr>
          <w:rFonts w:asciiTheme="minorHAnsi" w:eastAsiaTheme="minorHAnsi" w:hint="eastAsia"/>
          <w:sz w:val="22"/>
        </w:rPr>
        <w:lastRenderedPageBreak/>
        <w:t xml:space="preserve">업소로서 요구되는 안전에 대한 의무를 다하지 못했다는 증거가 존재한다면, </w:t>
      </w:r>
      <w:r w:rsidR="005A1F16">
        <w:rPr>
          <w:rFonts w:asciiTheme="minorHAnsi" w:eastAsiaTheme="minorHAnsi" w:hint="eastAsia"/>
          <w:sz w:val="22"/>
        </w:rPr>
        <w:t>甲의 청구는 인용될 가능성이 높다고 볼 수 있습니다.</w:t>
      </w:r>
    </w:p>
    <w:p w14:paraId="0AAB21E7" w14:textId="77777777" w:rsidR="005A1F16" w:rsidRDefault="005A1F16" w:rsidP="005A1F16">
      <w:pPr>
        <w:pStyle w:val="a"/>
        <w:ind w:left="1160"/>
        <w:rPr>
          <w:rFonts w:asciiTheme="minorHAnsi" w:eastAsiaTheme="minorHAnsi"/>
          <w:sz w:val="22"/>
        </w:rPr>
      </w:pPr>
    </w:p>
    <w:p w14:paraId="57727CA8" w14:textId="4FC971C1" w:rsidR="00890467" w:rsidRPr="0054223C" w:rsidRDefault="00D42E9A" w:rsidP="00890467">
      <w:pPr>
        <w:pStyle w:val="a"/>
        <w:numPr>
          <w:ilvl w:val="1"/>
          <w:numId w:val="14"/>
        </w:numPr>
        <w:rPr>
          <w:rFonts w:asciiTheme="minorHAnsi" w:eastAsiaTheme="minorHAnsi"/>
          <w:b/>
          <w:bCs/>
          <w:sz w:val="22"/>
        </w:rPr>
      </w:pPr>
      <w:r w:rsidRPr="0054223C">
        <w:rPr>
          <w:rFonts w:asciiTheme="minorHAnsi" w:eastAsiaTheme="minorHAnsi" w:hint="eastAsia"/>
          <w:b/>
          <w:bCs/>
          <w:sz w:val="22"/>
        </w:rPr>
        <w:t xml:space="preserve"> </w:t>
      </w:r>
      <w:r w:rsidR="00890467" w:rsidRPr="0054223C">
        <w:rPr>
          <w:rFonts w:asciiTheme="minorHAnsi" w:eastAsiaTheme="minorHAnsi" w:hint="eastAsia"/>
          <w:b/>
          <w:bCs/>
          <w:sz w:val="22"/>
        </w:rPr>
        <w:t>甲의 부인 丙이 乙을 상대로 손해배상을 청구하는 경우</w:t>
      </w:r>
    </w:p>
    <w:p w14:paraId="59130DBC" w14:textId="074A7442" w:rsidR="00890467" w:rsidRPr="0054223C" w:rsidRDefault="00890467" w:rsidP="00890467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54223C">
        <w:rPr>
          <w:rFonts w:asciiTheme="minorHAnsi" w:eastAsiaTheme="minorHAnsi" w:hint="eastAsia"/>
          <w:b/>
          <w:bCs/>
          <w:sz w:val="22"/>
        </w:rPr>
        <w:t>청구의 근거</w:t>
      </w:r>
    </w:p>
    <w:p w14:paraId="0F787FAD" w14:textId="77689DEA" w:rsidR="00890467" w:rsidRDefault="003E7DDF" w:rsidP="003E7DDF">
      <w:pPr>
        <w:pStyle w:val="a"/>
        <w:ind w:left="80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甲의 부인인 丙은 甲의 사망으로 인하여 입은 정신적인 피해에 대해 손해배상을 청구할 수 있습니다.</w:t>
      </w:r>
      <w:r w:rsidR="00195832">
        <w:rPr>
          <w:rFonts w:asciiTheme="minorHAnsi" w:eastAsiaTheme="minorHAnsi" w:hint="eastAsia"/>
          <w:sz w:val="22"/>
        </w:rPr>
        <w:t xml:space="preserve"> 이는 민법 제750조의 불법행위에 따라 </w:t>
      </w:r>
      <w:r w:rsidR="00D86DD9">
        <w:rPr>
          <w:rFonts w:asciiTheme="minorHAnsi" w:eastAsiaTheme="minorHAnsi" w:hint="eastAsia"/>
          <w:sz w:val="22"/>
        </w:rPr>
        <w:t>위자료를 청구할 수 있는 권리에 해당합니다. 丙은 甲의 사망으로 인해 배우자로서 큰 정신적 손해를 입었으며, 그에 따른 배상을 청구할 수 있습니다.</w:t>
      </w:r>
    </w:p>
    <w:p w14:paraId="16A5750A" w14:textId="77777777" w:rsidR="00D86DD9" w:rsidRDefault="00D86DD9" w:rsidP="003E7DDF">
      <w:pPr>
        <w:pStyle w:val="a"/>
        <w:ind w:left="800"/>
        <w:rPr>
          <w:rFonts w:asciiTheme="minorHAnsi" w:eastAsiaTheme="minorHAnsi"/>
          <w:sz w:val="22"/>
        </w:rPr>
      </w:pPr>
    </w:p>
    <w:p w14:paraId="3E3A1A12" w14:textId="62AD6A81" w:rsidR="00F9462A" w:rsidRPr="00346916" w:rsidRDefault="00F9462A" w:rsidP="003E7DDF">
      <w:pPr>
        <w:pStyle w:val="a"/>
        <w:ind w:left="800"/>
        <w:rPr>
          <w:rFonts w:asciiTheme="minorHAnsi" w:eastAsiaTheme="minorHAnsi"/>
          <w:b/>
          <w:bCs/>
          <w:sz w:val="22"/>
        </w:rPr>
      </w:pPr>
      <w:r w:rsidRPr="00346916">
        <w:rPr>
          <w:rFonts w:asciiTheme="minorHAnsi" w:eastAsiaTheme="minorHAnsi" w:hint="eastAsia"/>
          <w:b/>
          <w:bCs/>
          <w:sz w:val="22"/>
        </w:rPr>
        <w:t>인용 가능성</w:t>
      </w:r>
    </w:p>
    <w:p w14:paraId="546A1750" w14:textId="052A6965" w:rsidR="00F9462A" w:rsidRDefault="00F9462A" w:rsidP="00F9462A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丙이 입은 정신적 손해는 甲의 사망과 인과관계가 인정되고, 乙이 숙박업소로서 관리상의 주의 의무를 다하지 않은 것이 원인이라면, 丙의 청구가 인용될 가능성이 높습니다.</w:t>
      </w:r>
    </w:p>
    <w:p w14:paraId="4A835544" w14:textId="60AFC02D" w:rsidR="00F9462A" w:rsidRDefault="00F9462A" w:rsidP="00F9462A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부인이 배우자의 사망으로 입은 정신적 고통에 대한 배상청구권은 인정되는 추세</w:t>
      </w:r>
      <w:r w:rsidR="007A75A8">
        <w:rPr>
          <w:rFonts w:asciiTheme="minorHAnsi" w:eastAsiaTheme="minorHAnsi" w:hint="eastAsia"/>
          <w:sz w:val="22"/>
        </w:rPr>
        <w:t>는</w:t>
      </w:r>
      <w:r>
        <w:rPr>
          <w:rFonts w:asciiTheme="minorHAnsi" w:eastAsiaTheme="minorHAnsi" w:hint="eastAsia"/>
          <w:sz w:val="22"/>
        </w:rPr>
        <w:t xml:space="preserve"> </w:t>
      </w:r>
      <w:r w:rsidR="007A75A8">
        <w:rPr>
          <w:rFonts w:asciiTheme="minorHAnsi" w:eastAsiaTheme="minorHAnsi" w:hint="eastAsia"/>
          <w:sz w:val="22"/>
        </w:rPr>
        <w:t xml:space="preserve">관련 </w:t>
      </w:r>
      <w:r>
        <w:rPr>
          <w:rFonts w:asciiTheme="minorHAnsi" w:eastAsiaTheme="minorHAnsi" w:hint="eastAsia"/>
          <w:sz w:val="22"/>
        </w:rPr>
        <w:t>판례를 통해 알 수 있습니다.</w:t>
      </w:r>
      <w:r w:rsidR="00482F67">
        <w:rPr>
          <w:rFonts w:asciiTheme="minorHAnsi" w:eastAsiaTheme="minorHAnsi" w:hint="eastAsia"/>
          <w:sz w:val="22"/>
        </w:rPr>
        <w:t xml:space="preserve"> 다만, 乙이 본 사건에서 주의 의무를 다했는지에 따라 청구의 인용 여부가 달라질 수 있습니다.</w:t>
      </w:r>
    </w:p>
    <w:p w14:paraId="15927DB7" w14:textId="77777777" w:rsidR="00482F67" w:rsidRDefault="00482F67" w:rsidP="00482F67">
      <w:pPr>
        <w:pStyle w:val="a"/>
        <w:rPr>
          <w:rFonts w:asciiTheme="minorHAnsi" w:eastAsiaTheme="minorHAnsi"/>
          <w:sz w:val="22"/>
        </w:rPr>
      </w:pPr>
    </w:p>
    <w:p w14:paraId="47D4035B" w14:textId="2C42AAFA" w:rsidR="00482F67" w:rsidRPr="007A75A8" w:rsidRDefault="00482F67" w:rsidP="00482F67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7A75A8">
        <w:rPr>
          <w:rFonts w:asciiTheme="minorHAnsi" w:eastAsiaTheme="minorHAnsi" w:hint="eastAsia"/>
          <w:b/>
          <w:bCs/>
          <w:sz w:val="22"/>
        </w:rPr>
        <w:t>법적 검토 및 판례 분석</w:t>
      </w:r>
    </w:p>
    <w:p w14:paraId="3FE7C8EF" w14:textId="1F59A103" w:rsidR="00482F67" w:rsidRPr="007A75A8" w:rsidRDefault="00EF1565" w:rsidP="00EF1565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7A75A8">
        <w:rPr>
          <w:rFonts w:asciiTheme="minorHAnsi" w:eastAsiaTheme="minorHAnsi" w:hint="eastAsia"/>
          <w:b/>
          <w:bCs/>
          <w:sz w:val="22"/>
        </w:rPr>
        <w:t>민법 제750조에 따른 불법행위 책임</w:t>
      </w:r>
    </w:p>
    <w:p w14:paraId="1394A029" w14:textId="34067E1B" w:rsidR="00EA73BA" w:rsidRDefault="00EF1565" w:rsidP="00EA73BA">
      <w:pPr>
        <w:pStyle w:val="a"/>
        <w:ind w:left="116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민법 제750조는 타인의 권리를 침해하여 손해를 가한 자는 그 손해를 배상할 책임</w:t>
      </w:r>
      <w:r>
        <w:rPr>
          <w:rFonts w:asciiTheme="minorHAnsi" w:eastAsiaTheme="minorHAnsi" w:hint="eastAsia"/>
          <w:sz w:val="22"/>
        </w:rPr>
        <w:lastRenderedPageBreak/>
        <w:t>이 있다고 규정합니다. 이에 따라, 乙이 숙박업소 관리자로서 화재 예방과 고객의 안전에 대한 의무를 소홀히 한 경우에 불법행위 책임이 성립할 수 있습니다.</w:t>
      </w:r>
    </w:p>
    <w:p w14:paraId="119BD41D" w14:textId="5F22C8BD" w:rsidR="00340222" w:rsidRPr="00B07A3F" w:rsidRDefault="00340222" w:rsidP="00340222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B07A3F">
        <w:rPr>
          <w:rFonts w:asciiTheme="minorHAnsi" w:eastAsiaTheme="minorHAnsi" w:hint="eastAsia"/>
          <w:b/>
          <w:bCs/>
          <w:sz w:val="22"/>
        </w:rPr>
        <w:t>민법 제390조에 따른 채무불이행 책임</w:t>
      </w:r>
    </w:p>
    <w:p w14:paraId="2DA26387" w14:textId="720ECB39" w:rsidR="00340222" w:rsidRDefault="00340222" w:rsidP="00340222">
      <w:pPr>
        <w:pStyle w:val="a"/>
        <w:ind w:left="116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민법 제390조는 계약에 따른 채무가 이행되지 않았을 경우 손해배상 책임을 명시하고 있습니다. 숙박업소 운영자인 乙이 </w:t>
      </w:r>
      <w:r w:rsidR="00B07A3F">
        <w:rPr>
          <w:rFonts w:asciiTheme="minorHAnsi" w:eastAsiaTheme="minorHAnsi" w:hint="eastAsia"/>
          <w:sz w:val="22"/>
        </w:rPr>
        <w:t>투숙객인</w:t>
      </w:r>
      <w:r>
        <w:rPr>
          <w:rFonts w:asciiTheme="minorHAnsi" w:eastAsiaTheme="minorHAnsi" w:hint="eastAsia"/>
          <w:sz w:val="22"/>
        </w:rPr>
        <w:t xml:space="preserve"> 甲</w:t>
      </w:r>
      <w:r w:rsidR="00B07A3F">
        <w:rPr>
          <w:rFonts w:asciiTheme="minorHAnsi" w:eastAsiaTheme="minorHAnsi" w:hint="eastAsia"/>
          <w:sz w:val="22"/>
        </w:rPr>
        <w:t>에게 안전한 숙박환경을 제공할 의무를 다하지 않았을 경우에, 이는 채무불이행으로 간주되며, 손해배상 책임이 성립할 수 있습니다.</w:t>
      </w:r>
    </w:p>
    <w:p w14:paraId="002C3736" w14:textId="15D9B791" w:rsidR="00EA73BA" w:rsidRPr="00B07A3F" w:rsidRDefault="00EA73BA" w:rsidP="00EA73BA">
      <w:pPr>
        <w:pStyle w:val="a"/>
        <w:numPr>
          <w:ilvl w:val="0"/>
          <w:numId w:val="15"/>
        </w:numPr>
        <w:rPr>
          <w:rFonts w:asciiTheme="minorHAnsi" w:eastAsiaTheme="minorHAnsi"/>
          <w:b/>
          <w:bCs/>
          <w:sz w:val="22"/>
        </w:rPr>
      </w:pPr>
      <w:r w:rsidRPr="00B07A3F">
        <w:rPr>
          <w:rFonts w:asciiTheme="minorHAnsi" w:eastAsiaTheme="minorHAnsi" w:hint="eastAsia"/>
          <w:b/>
          <w:bCs/>
          <w:sz w:val="22"/>
        </w:rPr>
        <w:t>관련 판례</w:t>
      </w:r>
    </w:p>
    <w:p w14:paraId="043E5D71" w14:textId="065B6224" w:rsidR="00EA73BA" w:rsidRDefault="00EA73BA" w:rsidP="00EA73BA">
      <w:pPr>
        <w:pStyle w:val="a"/>
        <w:ind w:left="116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이와 유사한 사건에서 법원은 화재 안전 의무를 다하지 못한 운영자에게 손해배상 책임을 인정한 사례가 다수 존재합니다. 특히, 숙박업소</w:t>
      </w:r>
      <w:r w:rsidR="00B31DF5">
        <w:rPr>
          <w:rFonts w:asciiTheme="minorHAnsi" w:eastAsiaTheme="minorHAnsi" w:hint="eastAsia"/>
          <w:sz w:val="22"/>
        </w:rPr>
        <w:t>와 같이 불특정 다수가 이용하는 시설에 대해서는 각별한 주의 의무가 요구됩니다. 본 사건에서도 乙이 이러한 주의 의무를 다하지 못했던 상황이라면, 甲 및 丙의 손해배상 청구가 인용될 가능성이 높습니다.</w:t>
      </w:r>
    </w:p>
    <w:p w14:paraId="346CF71A" w14:textId="77777777" w:rsidR="00B31DF5" w:rsidRDefault="00B31DF5" w:rsidP="00EA73BA">
      <w:pPr>
        <w:pStyle w:val="a"/>
        <w:ind w:left="1160"/>
        <w:rPr>
          <w:rFonts w:asciiTheme="minorHAnsi" w:eastAsiaTheme="minorHAnsi"/>
          <w:sz w:val="22"/>
        </w:rPr>
      </w:pPr>
    </w:p>
    <w:p w14:paraId="50CF1B6F" w14:textId="267CE822" w:rsidR="00B31DF5" w:rsidRPr="00B07A3F" w:rsidRDefault="00B31DF5" w:rsidP="00B31DF5">
      <w:pPr>
        <w:pStyle w:val="a"/>
        <w:numPr>
          <w:ilvl w:val="0"/>
          <w:numId w:val="14"/>
        </w:numPr>
        <w:rPr>
          <w:rFonts w:asciiTheme="minorHAnsi" w:eastAsiaTheme="minorHAnsi"/>
          <w:b/>
          <w:bCs/>
          <w:sz w:val="22"/>
        </w:rPr>
      </w:pPr>
      <w:r w:rsidRPr="00B07A3F">
        <w:rPr>
          <w:rFonts w:asciiTheme="minorHAnsi" w:eastAsiaTheme="minorHAnsi" w:hint="eastAsia"/>
          <w:b/>
          <w:bCs/>
          <w:sz w:val="22"/>
        </w:rPr>
        <w:t>결론</w:t>
      </w:r>
    </w:p>
    <w:p w14:paraId="1CDA5549" w14:textId="23F2A70D" w:rsidR="00B31DF5" w:rsidRPr="00F556E1" w:rsidRDefault="00B31DF5" w:rsidP="00B31DF5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본 사례에서 甲은 숙박업소인 乙</w:t>
      </w:r>
      <w:r w:rsidR="00692C4C">
        <w:rPr>
          <w:rFonts w:asciiTheme="minorHAnsi" w:eastAsiaTheme="minorHAnsi" w:hint="eastAsia"/>
          <w:sz w:val="22"/>
        </w:rPr>
        <w:t>에 대해 화재 예방 및 고객 안전 확보의 의무를 다하지 못한 점을 근거로 손해배상을 청구할 수 있으며, 丙 또한 甲의 죽음으로 인해 정신적인 손해에 대한 배상을 청구할 수 있습니다.</w:t>
      </w:r>
    </w:p>
    <w:sectPr w:rsidR="00B31DF5" w:rsidRPr="00F556E1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4D6462D"/>
    <w:multiLevelType w:val="hybridMultilevel"/>
    <w:tmpl w:val="65D07C70"/>
    <w:lvl w:ilvl="0" w:tplc="BFCCA39E">
      <w:start w:val="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08A729EF"/>
    <w:multiLevelType w:val="hybridMultilevel"/>
    <w:tmpl w:val="CA76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376A2A95"/>
    <w:multiLevelType w:val="hybridMultilevel"/>
    <w:tmpl w:val="978A3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4E345937"/>
    <w:multiLevelType w:val="hybridMultilevel"/>
    <w:tmpl w:val="25BAD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4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5"/>
  </w:num>
  <w:num w:numId="2" w16cid:durableId="2050763668">
    <w:abstractNumId w:val="7"/>
  </w:num>
  <w:num w:numId="3" w16cid:durableId="822357529">
    <w:abstractNumId w:val="4"/>
  </w:num>
  <w:num w:numId="4" w16cid:durableId="2106657100">
    <w:abstractNumId w:val="12"/>
  </w:num>
  <w:num w:numId="5" w16cid:durableId="398481748">
    <w:abstractNumId w:val="11"/>
  </w:num>
  <w:num w:numId="6" w16cid:durableId="713235249">
    <w:abstractNumId w:val="15"/>
  </w:num>
  <w:num w:numId="7" w16cid:durableId="1790466445">
    <w:abstractNumId w:val="13"/>
  </w:num>
  <w:num w:numId="8" w16cid:durableId="90861090">
    <w:abstractNumId w:val="10"/>
  </w:num>
  <w:num w:numId="9" w16cid:durableId="46539871">
    <w:abstractNumId w:val="9"/>
  </w:num>
  <w:num w:numId="10" w16cid:durableId="1290822283">
    <w:abstractNumId w:val="14"/>
  </w:num>
  <w:num w:numId="11" w16cid:durableId="1520702604">
    <w:abstractNumId w:val="0"/>
  </w:num>
  <w:num w:numId="12" w16cid:durableId="1721856539">
    <w:abstractNumId w:val="3"/>
  </w:num>
  <w:num w:numId="13" w16cid:durableId="1438865824">
    <w:abstractNumId w:val="8"/>
  </w:num>
  <w:num w:numId="14" w16cid:durableId="2084639713">
    <w:abstractNumId w:val="2"/>
  </w:num>
  <w:num w:numId="15" w16cid:durableId="1499344841">
    <w:abstractNumId w:val="1"/>
  </w:num>
  <w:num w:numId="16" w16cid:durableId="942611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456C6"/>
    <w:rsid w:val="00047F36"/>
    <w:rsid w:val="00055C64"/>
    <w:rsid w:val="00070111"/>
    <w:rsid w:val="00070499"/>
    <w:rsid w:val="00080F01"/>
    <w:rsid w:val="00083986"/>
    <w:rsid w:val="00096D61"/>
    <w:rsid w:val="000C7C8F"/>
    <w:rsid w:val="000E1E77"/>
    <w:rsid w:val="000F5384"/>
    <w:rsid w:val="00103211"/>
    <w:rsid w:val="00107B1C"/>
    <w:rsid w:val="0011140B"/>
    <w:rsid w:val="00114899"/>
    <w:rsid w:val="0015443B"/>
    <w:rsid w:val="001803D4"/>
    <w:rsid w:val="001940E0"/>
    <w:rsid w:val="0019509F"/>
    <w:rsid w:val="00195832"/>
    <w:rsid w:val="001B12CA"/>
    <w:rsid w:val="001B62E0"/>
    <w:rsid w:val="001D1408"/>
    <w:rsid w:val="001D2989"/>
    <w:rsid w:val="001D2ABA"/>
    <w:rsid w:val="00206F4B"/>
    <w:rsid w:val="00271605"/>
    <w:rsid w:val="002762BC"/>
    <w:rsid w:val="002805C2"/>
    <w:rsid w:val="002A4ACE"/>
    <w:rsid w:val="002C1700"/>
    <w:rsid w:val="002C1EC3"/>
    <w:rsid w:val="002C2B54"/>
    <w:rsid w:val="002C6DC3"/>
    <w:rsid w:val="002E7135"/>
    <w:rsid w:val="002E7460"/>
    <w:rsid w:val="002F2414"/>
    <w:rsid w:val="0030772A"/>
    <w:rsid w:val="003109D5"/>
    <w:rsid w:val="00336198"/>
    <w:rsid w:val="00340222"/>
    <w:rsid w:val="00346916"/>
    <w:rsid w:val="00371AA8"/>
    <w:rsid w:val="00377B8A"/>
    <w:rsid w:val="00380A2A"/>
    <w:rsid w:val="003A7A23"/>
    <w:rsid w:val="003B2F39"/>
    <w:rsid w:val="003C0E7E"/>
    <w:rsid w:val="003E3F81"/>
    <w:rsid w:val="003E4C2D"/>
    <w:rsid w:val="003E7DDF"/>
    <w:rsid w:val="003F3E47"/>
    <w:rsid w:val="00417C61"/>
    <w:rsid w:val="00433C48"/>
    <w:rsid w:val="004373FD"/>
    <w:rsid w:val="0044710C"/>
    <w:rsid w:val="00451FCF"/>
    <w:rsid w:val="004556D0"/>
    <w:rsid w:val="00456B54"/>
    <w:rsid w:val="004662B1"/>
    <w:rsid w:val="0047482A"/>
    <w:rsid w:val="00482F67"/>
    <w:rsid w:val="004B3518"/>
    <w:rsid w:val="004B6FEB"/>
    <w:rsid w:val="004C2FCB"/>
    <w:rsid w:val="004C4A29"/>
    <w:rsid w:val="0051192C"/>
    <w:rsid w:val="005212AD"/>
    <w:rsid w:val="00522E6C"/>
    <w:rsid w:val="0053240D"/>
    <w:rsid w:val="00532980"/>
    <w:rsid w:val="0054223C"/>
    <w:rsid w:val="00576901"/>
    <w:rsid w:val="005875E5"/>
    <w:rsid w:val="005917CC"/>
    <w:rsid w:val="00593BE5"/>
    <w:rsid w:val="005A1F16"/>
    <w:rsid w:val="005C2DC7"/>
    <w:rsid w:val="005E4378"/>
    <w:rsid w:val="005F0D3A"/>
    <w:rsid w:val="005F15FE"/>
    <w:rsid w:val="005F63DC"/>
    <w:rsid w:val="00605051"/>
    <w:rsid w:val="00606401"/>
    <w:rsid w:val="00620B0C"/>
    <w:rsid w:val="006479CD"/>
    <w:rsid w:val="006554D2"/>
    <w:rsid w:val="006571E8"/>
    <w:rsid w:val="006670CE"/>
    <w:rsid w:val="0067251F"/>
    <w:rsid w:val="00684B34"/>
    <w:rsid w:val="0069218B"/>
    <w:rsid w:val="00692C4C"/>
    <w:rsid w:val="00695B8E"/>
    <w:rsid w:val="006A4610"/>
    <w:rsid w:val="006D0A7E"/>
    <w:rsid w:val="006F37F3"/>
    <w:rsid w:val="006F7792"/>
    <w:rsid w:val="00700D08"/>
    <w:rsid w:val="00711E0D"/>
    <w:rsid w:val="0073013D"/>
    <w:rsid w:val="00774B54"/>
    <w:rsid w:val="00784A08"/>
    <w:rsid w:val="00784CC1"/>
    <w:rsid w:val="007856AD"/>
    <w:rsid w:val="007A75A8"/>
    <w:rsid w:val="007A7DFF"/>
    <w:rsid w:val="007B1B4B"/>
    <w:rsid w:val="007C3EF3"/>
    <w:rsid w:val="007E6CD6"/>
    <w:rsid w:val="00841305"/>
    <w:rsid w:val="00847B5F"/>
    <w:rsid w:val="008756B7"/>
    <w:rsid w:val="00885987"/>
    <w:rsid w:val="00890467"/>
    <w:rsid w:val="008942F0"/>
    <w:rsid w:val="00897BBD"/>
    <w:rsid w:val="008B5EF3"/>
    <w:rsid w:val="0091255B"/>
    <w:rsid w:val="00937A2D"/>
    <w:rsid w:val="00950156"/>
    <w:rsid w:val="00953866"/>
    <w:rsid w:val="00984B09"/>
    <w:rsid w:val="009859A4"/>
    <w:rsid w:val="00995494"/>
    <w:rsid w:val="009B0852"/>
    <w:rsid w:val="009B30FA"/>
    <w:rsid w:val="009E1A46"/>
    <w:rsid w:val="009F06EC"/>
    <w:rsid w:val="00A17FDE"/>
    <w:rsid w:val="00A20B3B"/>
    <w:rsid w:val="00A53DD0"/>
    <w:rsid w:val="00A56A9C"/>
    <w:rsid w:val="00A72F4E"/>
    <w:rsid w:val="00A86BDF"/>
    <w:rsid w:val="00AB16D4"/>
    <w:rsid w:val="00AB1B6A"/>
    <w:rsid w:val="00AC70FD"/>
    <w:rsid w:val="00B00E0D"/>
    <w:rsid w:val="00B07A3F"/>
    <w:rsid w:val="00B30F11"/>
    <w:rsid w:val="00B31948"/>
    <w:rsid w:val="00B31DF5"/>
    <w:rsid w:val="00B3371E"/>
    <w:rsid w:val="00B370BC"/>
    <w:rsid w:val="00B4125E"/>
    <w:rsid w:val="00B51E16"/>
    <w:rsid w:val="00B67E47"/>
    <w:rsid w:val="00B800FD"/>
    <w:rsid w:val="00B9415D"/>
    <w:rsid w:val="00BD34CA"/>
    <w:rsid w:val="00BE1543"/>
    <w:rsid w:val="00C0026F"/>
    <w:rsid w:val="00C01289"/>
    <w:rsid w:val="00C07208"/>
    <w:rsid w:val="00C30BC5"/>
    <w:rsid w:val="00C5215D"/>
    <w:rsid w:val="00C55919"/>
    <w:rsid w:val="00C62198"/>
    <w:rsid w:val="00C70213"/>
    <w:rsid w:val="00C86903"/>
    <w:rsid w:val="00C95837"/>
    <w:rsid w:val="00CA6E49"/>
    <w:rsid w:val="00CB41AF"/>
    <w:rsid w:val="00CB7B5F"/>
    <w:rsid w:val="00D15495"/>
    <w:rsid w:val="00D1759F"/>
    <w:rsid w:val="00D2306A"/>
    <w:rsid w:val="00D31418"/>
    <w:rsid w:val="00D31802"/>
    <w:rsid w:val="00D42E9A"/>
    <w:rsid w:val="00D8545A"/>
    <w:rsid w:val="00D86DD9"/>
    <w:rsid w:val="00D9024A"/>
    <w:rsid w:val="00DD706E"/>
    <w:rsid w:val="00DE16B6"/>
    <w:rsid w:val="00DE37E4"/>
    <w:rsid w:val="00DE3F93"/>
    <w:rsid w:val="00DF1B29"/>
    <w:rsid w:val="00DF3A1B"/>
    <w:rsid w:val="00E24B58"/>
    <w:rsid w:val="00E50FD9"/>
    <w:rsid w:val="00E5342C"/>
    <w:rsid w:val="00E8260F"/>
    <w:rsid w:val="00E86BA4"/>
    <w:rsid w:val="00EA73BA"/>
    <w:rsid w:val="00EB33E4"/>
    <w:rsid w:val="00EC2D1E"/>
    <w:rsid w:val="00EF1565"/>
    <w:rsid w:val="00EF268D"/>
    <w:rsid w:val="00EF5C5E"/>
    <w:rsid w:val="00F05BD3"/>
    <w:rsid w:val="00F10DD5"/>
    <w:rsid w:val="00F556E1"/>
    <w:rsid w:val="00F73DA3"/>
    <w:rsid w:val="00F755E2"/>
    <w:rsid w:val="00F7721E"/>
    <w:rsid w:val="00F900D5"/>
    <w:rsid w:val="00F9462A"/>
    <w:rsid w:val="00FA3217"/>
    <w:rsid w:val="00FE5660"/>
    <w:rsid w:val="00FE78D9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5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198</cp:revision>
  <dcterms:created xsi:type="dcterms:W3CDTF">2024-04-07T09:44:00Z</dcterms:created>
  <dcterms:modified xsi:type="dcterms:W3CDTF">2024-10-09T14:40:00Z</dcterms:modified>
  <cp:version>0501.0001.01</cp:version>
</cp:coreProperties>
</file>