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GIAW</w:t>
      </w:r>
      <w:r>
        <w:t xml:space="preserve"> </w:t>
      </w:r>
      <w:r>
        <w:t xml:space="preserve">—</w:t>
      </w:r>
      <w:r>
        <w:t xml:space="preserve"> </w:t>
      </w:r>
      <w:r>
        <w:t xml:space="preserve">Governance,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and</w:t>
      </w:r>
      <w:r>
        <w:t xml:space="preserve"> </w:t>
      </w:r>
      <w:r>
        <w:t xml:space="preserve">Operations</w:t>
      </w:r>
      <w:r>
        <w:t xml:space="preserve"> </w:t>
      </w:r>
      <w:r>
        <w:t xml:space="preserve">Manual</w:t>
      </w:r>
    </w:p>
    <w:p>
      <w:pPr>
        <w:pStyle w:val="Subtitle"/>
      </w:pPr>
      <w:r>
        <w:t xml:space="preserve">Ownership,</w:t>
      </w:r>
      <w:r>
        <w:t xml:space="preserve"> </w:t>
      </w:r>
      <w:r>
        <w:t xml:space="preserve">decisions,</w:t>
      </w:r>
      <w:r>
        <w:t xml:space="preserve"> </w:t>
      </w:r>
      <w:r>
        <w:t xml:space="preserve">change</w:t>
      </w:r>
      <w:r>
        <w:t xml:space="preserve"> </w:t>
      </w:r>
      <w:r>
        <w:t xml:space="preserve">control,</w:t>
      </w:r>
      <w:r>
        <w:t xml:space="preserve"> </w:t>
      </w:r>
      <w:r>
        <w:t xml:space="preserve">support,</w:t>
      </w:r>
      <w:r>
        <w:t xml:space="preserve"> </w:t>
      </w:r>
      <w:r>
        <w:t xml:space="preserve">data</w:t>
      </w:r>
      <w:r>
        <w:t xml:space="preserve"> </w:t>
      </w:r>
      <w:r>
        <w:t xml:space="preserve">governance,</w:t>
      </w:r>
      <w:r>
        <w:t xml:space="preserve"> </w:t>
      </w:r>
      <w:r>
        <w:t xml:space="preserve">go-live</w:t>
      </w:r>
      <w:r>
        <w:t xml:space="preserve"> </w:t>
      </w:r>
      <w:r>
        <w:t xml:space="preserve">and</w:t>
      </w:r>
      <w:r>
        <w:t xml:space="preserve"> </w:t>
      </w:r>
      <w:r>
        <w:t xml:space="preserve">continuity</w:t>
      </w:r>
    </w:p>
    <w:p>
      <w:pPr>
        <w:pStyle w:val="Author"/>
      </w:pPr>
      <w:r>
        <w:t xml:space="preserve">GPHA</w:t>
      </w:r>
      <w:r>
        <w:t xml:space="preserve"> </w:t>
      </w:r>
      <w:r>
        <w:t xml:space="preserve">Internal</w:t>
      </w:r>
      <w:r>
        <w:t xml:space="preserve"> </w:t>
      </w:r>
      <w:r>
        <w:t xml:space="preserve">Audit</w:t>
      </w:r>
      <w:r>
        <w:t xml:space="preserve"> </w:t>
      </w:r>
      <w:r>
        <w:t xml:space="preserve">Department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555"/>
        <w:gridCol w:w="636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p>
            <w:pPr>
              <w:pStyle w:val="Compact"/>
              <w:jc w:val="left"/>
            </w:pPr>
            <w:r>
              <w:t xml:space="preserve">Governance, Administration and Operations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1.0 (draft for GPHA approval)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GM Audit, system owner, project sponsor, GPHA IT management, Audit Committee secretariat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Draft.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i/>
              </w:rPr>
              <w:t xml:space="preserve">GPHA to decide</w:t>
            </w:r>
            <w:r>
              <w:t xml:space="preserve"> </w:t>
            </w:r>
            <w:r>
              <w:t xml:space="preserve">need formal approval.</w:t>
            </w:r>
          </w:p>
        </w:tc>
      </w:tr>
    </w:tbl>
    <w:p>
      <w:pPr>
        <w:pStyle w:val="BlockText"/>
      </w:pPr>
      <w:r>
        <w:t xml:space="preserve">This manual sets out how GIAW is owned, changed, supported and kept safe. It does not replace GPHA policies. Where a GPHA policy exists, that policy governs and this manual should reference it.</w:t>
      </w:r>
    </w:p>
    <w:p>
      <w:pPr>
        <w:pStyle w:val="Heading1"/>
      </w:pPr>
      <w:bookmarkStart w:id="21" w:name="purpose-and-objectives-of-giaw"/>
      <w:r>
        <w:t xml:space="preserve">1. Purpose and objectives of GIAW</w:t>
      </w:r>
      <w:bookmarkEnd w:id="21"/>
    </w:p>
    <w:p>
      <w:pPr>
        <w:pStyle w:val="FirstParagraph"/>
      </w:pPr>
      <w:r>
        <w:t xml:space="preserve">GIAW replaces the retired</w:t>
      </w:r>
      <w:r>
        <w:t xml:space="preserve"> </w:t>
      </w:r>
      <w:r>
        <w:rPr>
          <w:i/>
        </w:rPr>
        <w:t xml:space="preserve">Audit Manager</w:t>
      </w:r>
      <w:r>
        <w:t xml:space="preserve"> </w:t>
      </w:r>
      <w:r>
        <w:t xml:space="preserve">application. It gives GPHA Internal Audit one controlled system for:</w:t>
      </w:r>
    </w:p>
    <w:p>
      <w:pPr>
        <w:numPr>
          <w:ilvl w:val="0"/>
          <w:numId w:val="1001"/>
        </w:numPr>
        <w:pStyle w:val="Compact"/>
      </w:pPr>
      <w:r>
        <w:t xml:space="preserve">risk-based planning and Audit Committee approval of the annual plan;</w:t>
      </w:r>
    </w:p>
    <w:p>
      <w:pPr>
        <w:numPr>
          <w:ilvl w:val="0"/>
          <w:numId w:val="1001"/>
        </w:numPr>
        <w:pStyle w:val="Compact"/>
      </w:pPr>
      <w:r>
        <w:t xml:space="preserve">executing and documenting engagements, with review and sign-off evidence;</w:t>
      </w:r>
    </w:p>
    <w:p>
      <w:pPr>
        <w:numPr>
          <w:ilvl w:val="0"/>
          <w:numId w:val="1001"/>
        </w:numPr>
        <w:pStyle w:val="Compact"/>
      </w:pPr>
      <w:r>
        <w:t xml:space="preserve">issuing reports and following up management actions to verified closure;</w:t>
      </w:r>
    </w:p>
    <w:p>
      <w:pPr>
        <w:numPr>
          <w:ilvl w:val="0"/>
          <w:numId w:val="1001"/>
        </w:numPr>
        <w:pStyle w:val="Compact"/>
      </w:pPr>
      <w:r>
        <w:t xml:space="preserve">consolidated reporting for HQ, Tema and Takoradi, the Audit Committee and the IAA;</w:t>
      </w:r>
    </w:p>
    <w:p>
      <w:pPr>
        <w:numPr>
          <w:ilvl w:val="0"/>
          <w:numId w:val="1001"/>
        </w:numPr>
        <w:pStyle w:val="Compact"/>
      </w:pPr>
      <w:r>
        <w:t xml:space="preserve">quality assurance (QAIP) and professional practice records.</w:t>
      </w:r>
    </w:p>
    <w:p>
      <w:pPr>
        <w:pStyle w:val="Heading1"/>
      </w:pPr>
      <w:bookmarkStart w:id="22" w:name="X5af6012a038663cf92de30d099d85e666723e3c"/>
      <w:r>
        <w:t xml:space="preserve">2. Governance structure and responsibilities</w:t>
      </w:r>
      <w:bookmarkEnd w:id="22"/>
    </w:p>
    <w:tbl>
      <w:tblPr>
        <w:tblStyle w:val="Table"/>
        <w:tblW w:type="pct" w:w="5000.0"/>
        <w:tblLook w:firstRow="1"/>
      </w:tblPr>
      <w:tblGrid>
        <w:gridCol w:w="2592"/>
        <w:gridCol w:w="2088"/>
        <w:gridCol w:w="3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(</w:t>
            </w:r>
            <w:r>
              <w:rPr>
                <w:i/>
              </w:rPr>
              <w:t xml:space="preserve">GPHA to name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sponsor</w:t>
            </w:r>
          </w:p>
        </w:tc>
        <w:tc>
          <w:p>
            <w:pPr>
              <w:pStyle w:val="Compact"/>
              <w:jc w:val="left"/>
            </w:pPr>
            <w:r>
              <w:t xml:space="preserve">GM Audit (CAE)</w:t>
            </w:r>
          </w:p>
        </w:tc>
        <w:tc>
          <w:p>
            <w:pPr>
              <w:pStyle w:val="Compact"/>
              <w:jc w:val="left"/>
            </w:pPr>
            <w:r>
              <w:t xml:space="preserve">Owns the business case; approves scope, go-live and major changes; chairs the steering meeting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Senior Internal Audit officer</w:t>
            </w:r>
          </w:p>
        </w:tc>
        <w:tc>
          <w:p>
            <w:pPr>
              <w:pStyle w:val="Compact"/>
              <w:jc w:val="left"/>
            </w:pPr>
            <w:r>
              <w:t xml:space="preserve">Day-to-day ownership; prioritises changes; approves configuration changes and user access; keeps the decision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 Administrators (2)</w:t>
            </w:r>
          </w:p>
        </w:tc>
        <w:tc>
          <w:p>
            <w:pPr>
              <w:pStyle w:val="Compact"/>
              <w:jc w:val="left"/>
            </w:pPr>
            <w:r>
              <w:t xml:space="preserve">Named IA staff</w:t>
            </w:r>
          </w:p>
        </w:tc>
        <w:tc>
          <w:p>
            <w:pPr>
              <w:pStyle w:val="Compact"/>
              <w:jc w:val="left"/>
            </w:pPr>
            <w:r>
              <w:t xml:space="preserve">Roles &amp; permissions, app customization, appointing administrators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Administrators</w:t>
            </w:r>
          </w:p>
        </w:tc>
        <w:tc>
          <w:p>
            <w:pPr>
              <w:pStyle w:val="Compact"/>
              <w:jc w:val="left"/>
            </w:pPr>
            <w:r>
              <w:t xml:space="preserve">Named IA / IT staff</w:t>
            </w:r>
          </w:p>
        </w:tc>
        <w:tc>
          <w:p>
            <w:pPr>
              <w:pStyle w:val="Compact"/>
              <w:jc w:val="left"/>
            </w:pPr>
            <w:r>
              <w:t xml:space="preserve">Users, configuration, reference data, backups,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GPHA IT (infrastructure)</w:t>
            </w:r>
          </w:p>
        </w:tc>
        <w:tc>
          <w:p>
            <w:pPr>
              <w:pStyle w:val="Compact"/>
              <w:jc w:val="left"/>
            </w:pPr>
            <w:r>
              <w:t xml:space="preserve">IT Department</w:t>
            </w:r>
          </w:p>
        </w:tc>
        <w:tc>
          <w:p>
            <w:pPr>
              <w:pStyle w:val="Compact"/>
              <w:jc w:val="left"/>
            </w:pPr>
            <w:r>
              <w:t xml:space="preserve">Server, database, network, certificate, patching, off-server backups,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Information security</w:t>
            </w:r>
          </w:p>
        </w:tc>
        <w:tc>
          <w:p>
            <w:pPr>
              <w:pStyle w:val="Compact"/>
              <w:jc w:val="left"/>
            </w:pPr>
            <w:r>
              <w:t xml:space="preserve">IT Security</w:t>
            </w:r>
          </w:p>
        </w:tc>
        <w:tc>
          <w:p>
            <w:pPr>
              <w:pStyle w:val="Compact"/>
              <w:jc w:val="left"/>
            </w:pPr>
            <w:r>
              <w:t xml:space="preserve">Security review before go-live; vulnerability management; incident handling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Legal / data protection</w:t>
            </w:r>
          </w:p>
        </w:tc>
        <w:tc>
          <w:p>
            <w:pPr>
              <w:pStyle w:val="Compact"/>
              <w:jc w:val="left"/>
            </w:pPr>
            <w:r>
              <w:t xml:space="preserve">Legal Department</w:t>
            </w:r>
          </w:p>
        </w:tc>
        <w:tc>
          <w:p>
            <w:pPr>
              <w:pStyle w:val="Compact"/>
              <w:jc w:val="left"/>
            </w:pPr>
            <w:r>
              <w:t xml:space="preserve">Data-protection and records-retention position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Developer / maintainer</w:t>
            </w:r>
          </w:p>
        </w:tc>
        <w:tc>
          <w:p>
            <w:pPr>
              <w:pStyle w:val="Compact"/>
              <w:jc w:val="left"/>
            </w:pPr>
            <w:r>
              <w:t xml:space="preserve">Internal or contracted</w:t>
            </w:r>
          </w:p>
        </w:tc>
        <w:tc>
          <w:p>
            <w:pPr>
              <w:pStyle w:val="Compact"/>
              <w:jc w:val="left"/>
            </w:pPr>
            <w:r>
              <w:t xml:space="preserve">Changes, fixes, releases, technical documentation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 users (one per port / HQ unit)</w:t>
            </w:r>
          </w:p>
        </w:tc>
        <w:tc>
          <w:p>
            <w:pPr>
              <w:pStyle w:val="Compact"/>
              <w:jc w:val="left"/>
            </w:pPr>
            <w:r>
              <w:t xml:space="preserve">Named auditors</w:t>
            </w:r>
          </w:p>
        </w:tc>
        <w:tc>
          <w:p>
            <w:pPr>
              <w:pStyle w:val="Compact"/>
              <w:jc w:val="left"/>
            </w:pPr>
            <w:r>
              <w:t xml:space="preserve">First-line help, training support, feedback collection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Committee</w:t>
            </w:r>
          </w:p>
        </w:tc>
        <w:tc>
          <w:p>
            <w:pPr>
              <w:pStyle w:val="Compact"/>
              <w:jc w:val="left"/>
            </w:pPr>
            <w:r>
              <w:t xml:space="preserve">Committee members</w:t>
            </w:r>
          </w:p>
        </w:tc>
        <w:tc>
          <w:p>
            <w:pPr>
              <w:pStyle w:val="Compact"/>
              <w:jc w:val="left"/>
            </w:pPr>
            <w:r>
              <w:t xml:space="preserve">Receives plan, reports and follow-up outputs (via the Committee pack)</w:t>
            </w:r>
          </w:p>
        </w:tc>
      </w:tr>
    </w:tbl>
    <w:p>
      <w:pPr>
        <w:pStyle w:val="BodyText"/>
      </w:pPr>
      <w:r>
        <w:rPr>
          <w:b/>
        </w:rPr>
        <w:t xml:space="preserve">RACI for key activities</w:t>
      </w:r>
      <w:r>
        <w:t xml:space="preserve"> </w:t>
      </w:r>
      <w:r>
        <w:t xml:space="preserve">(R = responsible, A = accountable, C = consulted, I = informed)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scope and go-live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change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user / role change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Software release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 (deploy)</w:t>
            </w:r>
          </w:p>
        </w:tc>
        <w:tc>
          <w:p>
            <w:pPr>
              <w:pStyle w:val="Compact"/>
              <w:jc w:val="left"/>
            </w:pPr>
            <w:r>
              <w:t xml:space="preserve">R (build)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and restore test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incident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 (attend)</w:t>
            </w:r>
          </w:p>
        </w:tc>
      </w:tr>
    </w:tbl>
    <w:p>
      <w:pPr>
        <w:pStyle w:val="Heading1"/>
      </w:pPr>
      <w:bookmarkStart w:id="23" w:name="decision-register"/>
      <w:r>
        <w:t xml:space="preserve">3. Decision register</w:t>
      </w:r>
      <w:bookmarkEnd w:id="23"/>
    </w:p>
    <w:p>
      <w:pPr>
        <w:pStyle w:val="FirstParagraph"/>
      </w:pPr>
      <w:r>
        <w:t xml:space="preserve">The decisions below come from</w:t>
      </w:r>
      <w:r>
        <w:t xml:space="preserve"> </w:t>
      </w:r>
      <w:r>
        <w:rPr>
          <w:rStyle w:val="VerbatimChar"/>
        </w:rPr>
        <w:t xml:space="preserve">mainBLUEPRINT.md</w:t>
      </w:r>
      <w:r>
        <w:t xml:space="preserve"> </w:t>
      </w:r>
      <w:r>
        <w:t xml:space="preserve">§13. The system has working defaults, but each one needs a formal GPHA decision before production.</w:t>
      </w:r>
    </w:p>
    <w:tbl>
      <w:tblPr>
        <w:tblStyle w:val="Table"/>
        <w:tblW w:type="pct" w:w="5000.0"/>
        <w:tblLook w:firstRow="1"/>
      </w:tblPr>
      <w:tblGrid>
        <w:gridCol w:w="650"/>
        <w:gridCol w:w="2659"/>
        <w:gridCol w:w="2659"/>
        <w:gridCol w:w="1300"/>
        <w:gridCol w:w="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 needed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Current default in GIAW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Decided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p>
            <w:pPr>
              <w:pStyle w:val="Compact"/>
              <w:jc w:val="left"/>
            </w:pPr>
            <w:r>
              <w:t xml:space="preserve">Official HQ / Tema / Takoradi hierarchy and authoritative org data</w:t>
            </w:r>
          </w:p>
        </w:tc>
        <w:tc>
          <w:p>
            <w:pPr>
              <w:pStyle w:val="Compact"/>
              <w:jc w:val="left"/>
            </w:pPr>
            <w:r>
              <w:t xml:space="preserve">Configurable entity types; demo data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p>
            <w:pPr>
              <w:pStyle w:val="Compact"/>
              <w:jc w:val="left"/>
            </w:pPr>
            <w:r>
              <w:t xml:space="preserve">Roles, delegated approval authority, separation-of-duties rules</w:t>
            </w:r>
          </w:p>
        </w:tc>
        <w:tc>
          <w:p>
            <w:pPr>
              <w:pStyle w:val="Compact"/>
              <w:jc w:val="left"/>
            </w:pPr>
            <w:r>
              <w:t xml:space="preserve">5 job roles; review levels Unit Head, Manager, PIA, CAE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p>
            <w:pPr>
              <w:pStyle w:val="Compact"/>
              <w:jc w:val="left"/>
            </w:pPr>
            <w:r>
              <w:t xml:space="preserve">Audit Committee approval recording and plan distribution authority</w:t>
            </w:r>
          </w:p>
        </w:tc>
        <w:tc>
          <w:p>
            <w:pPr>
              <w:pStyle w:val="Compact"/>
              <w:jc w:val="left"/>
            </w:pPr>
            <w:r>
              <w:t xml:space="preserve">Committee decision recorded on plan; GM Audit distributes</w:t>
            </w:r>
          </w:p>
        </w:tc>
        <w:tc>
          <w:p>
            <w:pPr>
              <w:pStyle w:val="Compact"/>
              <w:jc w:val="left"/>
            </w:pPr>
            <w:r>
              <w:t xml:space="preserve">GM Audit / Committee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p>
            <w:pPr>
              <w:pStyle w:val="Compact"/>
              <w:jc w:val="left"/>
            </w:pPr>
            <w:r>
              <w:t xml:space="preserve">Risk scoring scales and thresholds</w:t>
            </w:r>
          </w:p>
        </w:tc>
        <w:tc>
          <w:p>
            <w:pPr>
              <w:pStyle w:val="Compact"/>
              <w:jc w:val="left"/>
            </w:pPr>
            <w:r>
              <w:t xml:space="preserve">5×5 likelihood × impact; High/Medium thresholds configurable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p>
            <w:pPr>
              <w:pStyle w:val="Compact"/>
              <w:jc w:val="left"/>
            </w:pPr>
            <w:r>
              <w:t xml:space="preserve">Fiscal year and planning calendar</w:t>
            </w:r>
          </w:p>
        </w:tc>
        <w:tc>
          <w:p>
            <w:pPr>
              <w:pStyle w:val="Compact"/>
              <w:jc w:val="left"/>
            </w:pPr>
            <w:r>
              <w:t xml:space="preserve">Configurable</w:t>
            </w:r>
          </w:p>
        </w:tc>
        <w:tc>
          <w:p>
            <w:pPr>
              <w:pStyle w:val="Compact"/>
              <w:jc w:val="left"/>
            </w:pPr>
            <w:r>
              <w:t xml:space="preserve">GM Audit / Finance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p>
            <w:pPr>
              <w:pStyle w:val="Compact"/>
              <w:jc w:val="left"/>
            </w:pPr>
            <w:r>
              <w:t xml:space="preserve">Engagement types and report templates</w:t>
            </w:r>
          </w:p>
        </w:tc>
        <w:tc>
          <w:p>
            <w:pPr>
              <w:pStyle w:val="Compact"/>
              <w:jc w:val="left"/>
            </w:pPr>
            <w:r>
              <w:t xml:space="preserve">Default audit types; Word templates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p>
            <w:pPr>
              <w:pStyle w:val="Compact"/>
              <w:jc w:val="left"/>
            </w:pPr>
            <w:r>
              <w:t xml:space="preserve">Confidentiality classifications and auditee access model</w:t>
            </w:r>
          </w:p>
        </w:tc>
        <w:tc>
          <w:p>
            <w:pPr>
              <w:pStyle w:val="Compact"/>
              <w:jc w:val="left"/>
            </w:pPr>
            <w:r>
              <w:t xml:space="preserve">Public / Internal / Confidential / Restricted; auditees see only assigned audits and published issues</w:t>
            </w:r>
          </w:p>
        </w:tc>
        <w:tc>
          <w:p>
            <w:pPr>
              <w:pStyle w:val="Compact"/>
              <w:jc w:val="left"/>
            </w:pPr>
            <w:r>
              <w:t xml:space="preserve">GM Audit / Legal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p>
            <w:pPr>
              <w:pStyle w:val="Compact"/>
              <w:jc w:val="left"/>
            </w:pPr>
            <w:r>
              <w:t xml:space="preserve">Retention, legal hold and disposal schedule</w:t>
            </w:r>
          </w:p>
        </w:tc>
        <w:tc>
          <w:p>
            <w:pPr>
              <w:pStyle w:val="Compact"/>
              <w:jc w:val="left"/>
            </w:pPr>
            <w:r>
              <w:t xml:space="preserve">Closed audit files kept N years (configurable)</w:t>
            </w:r>
          </w:p>
        </w:tc>
        <w:tc>
          <w:p>
            <w:pPr>
              <w:pStyle w:val="Compact"/>
              <w:jc w:val="left"/>
            </w:pPr>
            <w:r>
              <w:t xml:space="preserve">Legal / Records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p>
            <w:pPr>
              <w:pStyle w:val="Compact"/>
              <w:jc w:val="left"/>
            </w:pPr>
            <w:r>
              <w:t xml:space="preserve">Hosting, identity provider, e-mail relay, storage, recovery objectives (RPO/RTO)</w:t>
            </w:r>
          </w:p>
        </w:tc>
        <w:tc>
          <w:p>
            <w:pPr>
              <w:pStyle w:val="Compact"/>
              <w:jc w:val="left"/>
            </w:pPr>
            <w:r>
              <w:t xml:space="preserve">Windows server; local accounts or AD; SMTP optional</w:t>
            </w:r>
          </w:p>
        </w:tc>
        <w:tc>
          <w:p>
            <w:pPr>
              <w:pStyle w:val="Compact"/>
              <w:jc w:val="left"/>
            </w:pPr>
            <w:r>
              <w:t xml:space="preserve">IT / 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p>
            <w:pPr>
              <w:pStyle w:val="Compact"/>
              <w:jc w:val="left"/>
            </w:pPr>
            <w:r>
              <w:t xml:space="preserve">Migration sources and data quality rules</w:t>
            </w:r>
          </w:p>
        </w:tc>
        <w:tc>
          <w:p>
            <w:pPr>
              <w:pStyle w:val="Compact"/>
              <w:jc w:val="left"/>
            </w:pPr>
            <w:r>
              <w:t xml:space="preserve">None loaded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p>
            <w:pPr>
              <w:pStyle w:val="Compact"/>
              <w:jc w:val="left"/>
            </w:pPr>
            <w:r>
              <w:t xml:space="preserve">Integrations and AI use cases / data boundaries</w:t>
            </w:r>
          </w:p>
        </w:tc>
        <w:tc>
          <w:p>
            <w:pPr>
              <w:pStyle w:val="Compact"/>
              <w:jc w:val="left"/>
            </w:pPr>
            <w:r>
              <w:t xml:space="preserve">AI off; no integrations</w:t>
            </w:r>
          </w:p>
        </w:tc>
        <w:tc>
          <w:p>
            <w:pPr>
              <w:pStyle w:val="Compact"/>
              <w:jc w:val="left"/>
            </w:pPr>
            <w:r>
              <w:t xml:space="preserve">GM Audit / IT Security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p>
            <w:pPr>
              <w:pStyle w:val="Compact"/>
              <w:jc w:val="left"/>
            </w:pPr>
            <w:r>
              <w:t xml:space="preserve">UAT sign-off owners and production support contacts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p>
            <w:pPr>
              <w:pStyle w:val="Compact"/>
              <w:jc w:val="left"/>
            </w:pPr>
            <w:r>
              <w:t xml:space="preserve">Should Audit Committee members have read-only accounts? (QA-03)</w:t>
            </w:r>
          </w:p>
        </w:tc>
        <w:tc>
          <w:p>
            <w:pPr>
              <w:pStyle w:val="Compact"/>
              <w:jc w:val="left"/>
            </w:pPr>
            <w:r>
              <w:t xml:space="preserve">Not possible today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p>
            <w:pPr>
              <w:pStyle w:val="Compact"/>
              <w:jc w:val="left"/>
            </w:pPr>
            <w:r>
              <w:t xml:space="preserve">Rule for two people editing the same record (QA-02)</w:t>
            </w:r>
          </w:p>
        </w:tc>
        <w:tc>
          <w:p>
            <w:pPr>
              <w:pStyle w:val="Compact"/>
              <w:jc w:val="left"/>
            </w:pPr>
            <w:r>
              <w:t xml:space="preserve">Last save wins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p>
            <w:pPr>
              <w:pStyle w:val="Compact"/>
              <w:jc w:val="left"/>
            </w:pPr>
            <w:r>
              <w:t xml:space="preserve">Is third-party risk management (TPRM) in scope?</w:t>
            </w:r>
          </w:p>
        </w:tc>
        <w:tc>
          <w:p>
            <w:pPr>
              <w:pStyle w:val="Compact"/>
              <w:jc w:val="left"/>
            </w:pPr>
            <w:r>
              <w:t xml:space="preserve">Basic third-party register only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p>
            <w:pPr>
              <w:pStyle w:val="Compact"/>
              <w:jc w:val="left"/>
            </w:pPr>
            <w:r>
              <w:t xml:space="preserve">Sign-off levels, password on sign-off, dropped screens (blueprint decision 21)</w:t>
            </w:r>
          </w:p>
        </w:tc>
        <w:tc>
          <w:p>
            <w:pPr>
              <w:pStyle w:val="Compact"/>
              <w:jc w:val="left"/>
            </w:pPr>
            <w:r>
              <w:t xml:space="preserve">Five levels; password optional</w:t>
            </w:r>
          </w:p>
        </w:tc>
        <w:tc>
          <w:p>
            <w:pPr>
              <w:pStyle w:val="Compact"/>
              <w:jc w:val="left"/>
            </w:pPr>
            <w:r>
              <w:t xml:space="preserve">GM Audit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Record every decision with the date, decision-maker, reference (memo or minutes) and the configuration change it causes.</w:t>
      </w:r>
    </w:p>
    <w:p>
      <w:pPr>
        <w:pStyle w:val="Heading1"/>
      </w:pPr>
      <w:bookmarkStart w:id="24" w:name="change-control"/>
      <w:r>
        <w:t xml:space="preserve">4. Change control</w:t>
      </w:r>
      <w:bookmarkEnd w:id="24"/>
    </w:p>
    <w:p>
      <w:pPr>
        <w:pStyle w:val="Heading2"/>
      </w:pPr>
      <w:bookmarkStart w:id="25" w:name="types-of-change"/>
      <w:r>
        <w:t xml:space="preserve">4.1 Types of change</w:t>
      </w:r>
      <w:bookmarkEnd w:id="25"/>
    </w:p>
    <w:tbl>
      <w:tblPr>
        <w:tblStyle w:val="Table"/>
        <w:tblW w:type="pct" w:w="4999.999999999999"/>
        <w:tblLook w:firstRow="1"/>
      </w:tblPr>
      <w:tblGrid>
        <w:gridCol w:w="1066"/>
        <w:gridCol w:w="2284"/>
        <w:gridCol w:w="2284"/>
        <w:gridCol w:w="22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p>
            <w:pPr>
              <w:pStyle w:val="Compact"/>
              <w:jc w:val="left"/>
            </w:pPr>
            <w:r>
              <w:t xml:space="preserve">A business rule, list value, KPI target, holiday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Done on screen by an administrator; logged automatically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New user, role change, leaver</w:t>
            </w:r>
          </w:p>
        </w:tc>
        <w:tc>
          <w:p>
            <w:pPr>
              <w:pStyle w:val="Compact"/>
              <w:jc w:val="left"/>
            </w:pPr>
            <w:r>
              <w:t xml:space="preserve">System owner (or line manager for auditees)</w:t>
            </w:r>
          </w:p>
        </w:tc>
        <w:tc>
          <w:p>
            <w:pPr>
              <w:pStyle w:val="Compact"/>
              <w:jc w:val="left"/>
            </w:pPr>
            <w:r>
              <w:t xml:space="preserve">Users screen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Minor software change</w:t>
            </w:r>
          </w:p>
        </w:tc>
        <w:tc>
          <w:p>
            <w:pPr>
              <w:pStyle w:val="Compact"/>
              <w:jc w:val="left"/>
            </w:pPr>
            <w:r>
              <w:t xml:space="preserve">Label, small fix, report wording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Developer → test → staging →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Major software change</w:t>
            </w:r>
          </w:p>
        </w:tc>
        <w:tc>
          <w:p>
            <w:pPr>
              <w:pStyle w:val="Compact"/>
              <w:jc w:val="left"/>
            </w:pPr>
            <w:r>
              <w:t xml:space="preserve">New module, workflow change, data model change</w:t>
            </w:r>
          </w:p>
        </w:tc>
        <w:tc>
          <w:p>
            <w:pPr>
              <w:pStyle w:val="Compact"/>
              <w:jc w:val="left"/>
            </w:pPr>
            <w:r>
              <w:t xml:space="preserve">Sponsor (steering)</w:t>
            </w:r>
          </w:p>
        </w:tc>
        <w:tc>
          <w:p>
            <w:pPr>
              <w:pStyle w:val="Compact"/>
              <w:jc w:val="left"/>
            </w:pPr>
            <w:r>
              <w:t xml:space="preserve">Change request → impact assessment → build → test → UAT →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Emergency fix</w:t>
            </w:r>
          </w:p>
        </w:tc>
        <w:tc>
          <w:p>
            <w:pPr>
              <w:pStyle w:val="Compact"/>
              <w:jc w:val="left"/>
            </w:pPr>
            <w:r>
              <w:t xml:space="preserve">Security issue, data-loss bug</w:t>
            </w:r>
          </w:p>
        </w:tc>
        <w:tc>
          <w:p>
            <w:pPr>
              <w:pStyle w:val="Compact"/>
              <w:jc w:val="left"/>
            </w:pPr>
            <w:r>
              <w:t xml:space="preserve">System owner (with retrospective sponsor approval)</w:t>
            </w:r>
          </w:p>
        </w:tc>
        <w:tc>
          <w:p>
            <w:pPr>
              <w:pStyle w:val="Compact"/>
              <w:jc w:val="left"/>
            </w:pPr>
            <w:r>
              <w:t xml:space="preserve">Hot-fix release; record afterwards</w:t>
            </w:r>
          </w:p>
        </w:tc>
      </w:tr>
    </w:tbl>
    <w:p>
      <w:pPr>
        <w:pStyle w:val="Heading2"/>
      </w:pPr>
      <w:bookmarkStart w:id="26" w:name="change-request-form-template"/>
      <w:r>
        <w:t xml:space="preserve">4.2 Change request form (template)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p>
            <w:pPr>
              <w:pStyle w:val="Compact"/>
              <w:jc w:val="left"/>
            </w:pPr>
            <w:r>
              <w:t xml:space="preserve">CR-YYYY-NNN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Requested by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Description of the change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Reason / benefit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Affected apps, roles and data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Risk if not 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Impact (data, security, training, documents)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Critical / High / Medium /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Approved by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Released in version / date</w:t>
            </w:r>
          </w:p>
        </w:tc>
        <w:tc>
          <w:p/>
        </w:tc>
      </w:tr>
    </w:tbl>
    <w:p>
      <w:pPr>
        <w:pStyle w:val="Heading2"/>
      </w:pPr>
      <w:bookmarkStart w:id="27" w:name="release-procedure"/>
      <w:r>
        <w:t xml:space="preserve">4.3 Release procedure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Every change is made in source control on a branch and reviewed.</w:t>
      </w:r>
    </w:p>
    <w:p>
      <w:pPr>
        <w:numPr>
          <w:ilvl w:val="0"/>
          <w:numId w:val="1002"/>
        </w:numPr>
        <w:pStyle w:val="Compact"/>
      </w:pPr>
      <w:r>
        <w:t xml:space="preserve">Automated checks must pass: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uv run pytest -q --ignore=tests/ui</w:t>
      </w:r>
      <w:r>
        <w:t xml:space="preserve"> </w:t>
      </w:r>
      <w:r>
        <w:t xml:space="preserve">(150 tests);</w:t>
      </w:r>
    </w:p>
    <w:p>
      <w:pPr>
        <w:numPr>
          <w:ilvl w:val="1"/>
          <w:numId w:val="1003"/>
        </w:numPr>
        <w:pStyle w:val="Compact"/>
      </w:pPr>
      <w:r>
        <w:t xml:space="preserve">the browser tests;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ruff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pip-audit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Deploy to</w:t>
      </w:r>
      <w:r>
        <w:t xml:space="preserve"> </w:t>
      </w:r>
      <w:r>
        <w:rPr>
          <w:b/>
        </w:rPr>
        <w:t xml:space="preserve">staging</w:t>
      </w:r>
      <w:r>
        <w:t xml:space="preserve">. The system owner or a super user confirms the change.</w:t>
      </w:r>
    </w:p>
    <w:p>
      <w:pPr>
        <w:numPr>
          <w:ilvl w:val="0"/>
          <w:numId w:val="1002"/>
        </w:numPr>
        <w:pStyle w:val="Compact"/>
      </w:pPr>
      <w:r>
        <w:t xml:space="preserve">Agree a release window and announce it to users.</w:t>
      </w:r>
    </w:p>
    <w:p>
      <w:pPr>
        <w:numPr>
          <w:ilvl w:val="0"/>
          <w:numId w:val="1002"/>
        </w:numPr>
        <w:pStyle w:val="Compact"/>
      </w:pPr>
      <w:r>
        <w:t xml:space="preserve">Back up production, deploy (Administration Guide §2.3), then smoke-test:</w:t>
      </w:r>
    </w:p>
    <w:p>
      <w:pPr>
        <w:numPr>
          <w:ilvl w:val="1"/>
          <w:numId w:val="1004"/>
        </w:numPr>
        <w:pStyle w:val="Compact"/>
      </w:pPr>
      <w:r>
        <w:t xml:space="preserve">sign in;</w:t>
      </w:r>
    </w:p>
    <w:p>
      <w:pPr>
        <w:numPr>
          <w:ilvl w:val="1"/>
          <w:numId w:val="1004"/>
        </w:numPr>
        <w:pStyle w:val="Compact"/>
      </w:pPr>
      <w:r>
        <w:t xml:space="preserve">open Audits and Task Tracker;</w:t>
      </w:r>
    </w:p>
    <w:p>
      <w:pPr>
        <w:numPr>
          <w:ilvl w:val="1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Update the release notes, the documentation and the decision register.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Rollback:</w:t>
      </w:r>
      <w:r>
        <w:t xml:space="preserve"> </w:t>
      </w:r>
      <w:r>
        <w:t xml:space="preserve">restore the previous code version (</w:t>
      </w:r>
      <w:r>
        <w:rPr>
          <w:rStyle w:val="VerbatimChar"/>
        </w:rPr>
        <w:t xml:space="preserve">git checkout &lt;previous tag&gt;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uv sync --frozen</w:t>
      </w:r>
      <w:r>
        <w:t xml:space="preserve">) and, if a migration ran, the pre-release backup.</w:t>
      </w:r>
    </w:p>
    <w:p>
      <w:pPr>
        <w:pStyle w:val="Heading1"/>
      </w:pPr>
      <w:bookmarkStart w:id="28" w:name="support-model"/>
      <w:r>
        <w:t xml:space="preserve">5. Support model</w:t>
      </w:r>
      <w:bookmarkEnd w:id="28"/>
    </w:p>
    <w:tbl>
      <w:tblPr>
        <w:tblStyle w:val="Table"/>
        <w:tblW w:type="pct" w:w="5000.0"/>
        <w:tblLook w:firstRow="1"/>
      </w:tblPr>
      <w:tblGrid>
        <w:gridCol w:w="815"/>
        <w:gridCol w:w="1863"/>
        <w:gridCol w:w="2620"/>
        <w:gridCol w:w="26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Handles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response (</w:t>
            </w:r>
            <w:r>
              <w:rPr>
                <w:i/>
              </w:rPr>
              <w:t xml:space="preserve">provisional, GPHA to agree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Super users and the system owner</w:t>
            </w:r>
          </w:p>
        </w:tc>
        <w:tc>
          <w:p>
            <w:pPr>
              <w:pStyle w:val="Compact"/>
              <w:jc w:val="left"/>
            </w:pPr>
            <w:r>
              <w:t xml:space="preserve">How-to questions, forgotten password, account unlock, access requests</w:t>
            </w:r>
          </w:p>
        </w:tc>
        <w:tc>
          <w:p>
            <w:pPr>
              <w:pStyle w:val="Compact"/>
              <w:jc w:val="left"/>
            </w:pPr>
            <w:r>
              <w:t xml:space="preserve">Same working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Administrators</w:t>
            </w:r>
          </w:p>
        </w:tc>
        <w:tc>
          <w:p>
            <w:pPr>
              <w:pStyle w:val="Compact"/>
              <w:jc w:val="left"/>
            </w:pPr>
            <w:r>
              <w:t xml:space="preserve">Configuration, data corrections through the screens, report questions</w:t>
            </w:r>
          </w:p>
        </w:tc>
        <w:tc>
          <w:p>
            <w:pPr>
              <w:pStyle w:val="Compact"/>
              <w:jc w:val="left"/>
            </w:pPr>
            <w:r>
              <w:t xml:space="preserve">1 working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Developer / maintainer</w:t>
            </w:r>
          </w:p>
        </w:tc>
        <w:tc>
          <w:p>
            <w:pPr>
              <w:pStyle w:val="Compact"/>
              <w:jc w:val="left"/>
            </w:pPr>
            <w:r>
              <w:t xml:space="preserve">Defects, errors, performance, releases</w:t>
            </w:r>
          </w:p>
        </w:tc>
        <w:tc>
          <w:p>
            <w:pPr>
              <w:pStyle w:val="Compact"/>
              <w:jc w:val="left"/>
            </w:pPr>
            <w:r>
              <w:t xml:space="preserve">Critical: 4 h; High: 1 working day; others: next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GPHA IT</w:t>
            </w:r>
          </w:p>
        </w:tc>
        <w:tc>
          <w:p>
            <w:pPr>
              <w:pStyle w:val="Compact"/>
              <w:jc w:val="left"/>
            </w:pPr>
            <w:r>
              <w:t xml:space="preserve">Server down, database, network, certificate, backups</w:t>
            </w:r>
          </w:p>
        </w:tc>
        <w:tc>
          <w:p>
            <w:pPr>
              <w:pStyle w:val="Compact"/>
              <w:jc w:val="left"/>
            </w:pPr>
            <w:r>
              <w:t xml:space="preserve">Per GPHA IT service levels</w:t>
            </w:r>
          </w:p>
        </w:tc>
      </w:tr>
    </w:tbl>
    <w:p>
      <w:pPr>
        <w:pStyle w:val="BodyText"/>
      </w:pPr>
      <w:r>
        <w:rPr>
          <w:b/>
        </w:rPr>
        <w:t xml:space="preserve">Severity definitions (for incidents)</w:t>
      </w:r>
    </w:p>
    <w:tbl>
      <w:tblPr>
        <w:tblStyle w:val="Table"/>
        <w:tblW w:type="pct" w:w="5000.0"/>
        <w:tblLook w:firstRow="1"/>
      </w:tblPr>
      <w:tblGrid>
        <w:gridCol w:w="1024"/>
        <w:gridCol w:w="4192"/>
        <w:gridCol w:w="270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System unavailable for all users, data loss, or a security breach</w:t>
            </w:r>
          </w:p>
        </w:tc>
        <w:tc>
          <w:p>
            <w:pPr>
              <w:pStyle w:val="Compact"/>
              <w:jc w:val="left"/>
            </w:pPr>
            <w:r>
              <w:t xml:space="preserve">Server down; data exposed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 key workflow blocked for many users with no workaround</w:t>
            </w:r>
          </w:p>
        </w:tc>
        <w:tc>
          <w:p>
            <w:pPr>
              <w:pStyle w:val="Compact"/>
              <w:jc w:val="left"/>
            </w:pPr>
            <w:r>
              <w:t xml:space="preserve">Cannot issue reports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 function impaired, workaround exists</w:t>
            </w:r>
          </w:p>
        </w:tc>
        <w:tc>
          <w:p>
            <w:pPr>
              <w:pStyle w:val="Compact"/>
              <w:jc w:val="left"/>
            </w:pPr>
            <w:r>
              <w:t xml:space="preserve">Export fails for one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Cosmetic or minor</w:t>
            </w:r>
          </w:p>
        </w:tc>
        <w:tc>
          <w:p>
            <w:pPr>
              <w:pStyle w:val="Compact"/>
              <w:jc w:val="left"/>
            </w:pPr>
            <w:r>
              <w:t xml:space="preserve">Label wording</w:t>
            </w:r>
          </w:p>
        </w:tc>
      </w:tr>
    </w:tbl>
    <w:p>
      <w:pPr>
        <w:pStyle w:val="BodyText"/>
      </w:pPr>
      <w:r>
        <w:rPr>
          <w:b/>
        </w:rPr>
        <w:t xml:space="preserve">Reporting a problem:</w:t>
      </w:r>
      <w:r>
        <w:t xml:space="preserve"> </w:t>
      </w:r>
      <w:r>
        <w:t xml:space="preserve">users send the screen name, what they did, what they expected, what happened, the time, and a screenshot (with no confidential content) to the support contact named by GPHA.</w:t>
      </w:r>
    </w:p>
    <w:p>
      <w:pPr>
        <w:pStyle w:val="Heading1"/>
      </w:pPr>
      <w:bookmarkStart w:id="29" w:name="data-governance"/>
      <w:r>
        <w:t xml:space="preserve">6. Data governance</w:t>
      </w:r>
      <w:bookmarkEnd w:id="29"/>
    </w:p>
    <w:tbl>
      <w:tblPr>
        <w:tblStyle w:val="Table"/>
        <w:tblW w:type="pct" w:w="5000.0"/>
        <w:tblLook w:firstRow="1"/>
      </w:tblPr>
      <w:tblGrid>
        <w:gridCol w:w="1066"/>
        <w:gridCol w:w="3426"/>
        <w:gridCol w:w="342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in GIAW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GPHA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Classification printed on every Word document footer (configurable); assets carry a data 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Confirm the scheme (D7)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p>
            <w:pPr>
              <w:pStyle w:val="Compact"/>
              <w:jc w:val="left"/>
            </w:pPr>
            <w:r>
              <w:t xml:space="preserve">Least privilege by job role; auditees see only assigned audits and published issues; port scoping</w:t>
            </w:r>
          </w:p>
        </w:tc>
        <w:tc>
          <w:p>
            <w:pPr>
              <w:pStyle w:val="Compact"/>
              <w:jc w:val="left"/>
            </w:pPr>
            <w:r>
              <w:t xml:space="preserve">Quarterly access review (§7)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Personal data</w:t>
            </w:r>
          </w:p>
        </w:tc>
        <w:tc>
          <w:p>
            <w:pPr>
              <w:pStyle w:val="Compact"/>
              <w:jc w:val="left"/>
            </w:pPr>
            <w:r>
              <w:t xml:space="preserve">Names, e-mails and job roles of staff and auditees; audit evidence may contain personal data</w:t>
            </w:r>
          </w:p>
        </w:tc>
        <w:tc>
          <w:p>
            <w:pPr>
              <w:pStyle w:val="Compact"/>
              <w:jc w:val="left"/>
            </w:pPr>
            <w:r>
              <w:t xml:space="preserve">Legal to confirm the position under Ghana’s Data Protection Act, 2012 (Act 843)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 closed audit files for (years)</w:t>
            </w:r>
            <w:r>
              <w:t xml:space="preserve">”</w:t>
            </w:r>
            <w:r>
              <w:t xml:space="preserve"> </w:t>
            </w:r>
            <w:r>
              <w:t xml:space="preserve">setting; records are never hard-deleted once progressed</w:t>
            </w:r>
          </w:p>
        </w:tc>
        <w:tc>
          <w:p>
            <w:pPr>
              <w:pStyle w:val="Compact"/>
              <w:jc w:val="left"/>
            </w:pPr>
            <w:r>
              <w:t xml:space="preserve">Approve the schedule (D8) and the disposal procedure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p>
            <w:pPr>
              <w:pStyle w:val="Compact"/>
              <w:jc w:val="left"/>
            </w:pPr>
            <w:r>
              <w:t xml:space="preserve">Append-only audit trail; e-signatures; SHA-256 file hashes; versions frozen on issue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p>
            <w:pPr>
              <w:pStyle w:val="Compact"/>
              <w:jc w:val="left"/>
            </w:pPr>
            <w:r>
              <w:t xml:space="preserve">Files and backups encrypted at rest; HTTPS in transit</w:t>
            </w:r>
          </w:p>
        </w:tc>
        <w:tc>
          <w:p>
            <w:pPr>
              <w:pStyle w:val="Compact"/>
              <w:jc w:val="left"/>
            </w:pPr>
            <w:r>
              <w:t xml:space="preserve">Protect</w:t>
            </w:r>
            <w:r>
              <w:t xml:space="preserve"> </w:t>
            </w:r>
            <w:r>
              <w:rPr>
                <w:rStyle w:val="VerbatimChar"/>
              </w:rPr>
              <w:t xml:space="preserve">GPHA_ENCRYPTION_KEY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Off by default; if enabled, personal data is redacted and requests are logged</w:t>
            </w:r>
          </w:p>
        </w:tc>
        <w:tc>
          <w:p>
            <w:pPr>
              <w:pStyle w:val="Compact"/>
              <w:jc w:val="left"/>
            </w:pPr>
            <w:r>
              <w:t xml:space="preserve">Approve use cases (D11)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Exports</w:t>
            </w:r>
          </w:p>
        </w:tc>
        <w:tc>
          <w:p>
            <w:pPr>
              <w:pStyle w:val="Compact"/>
              <w:jc w:val="left"/>
            </w:pPr>
            <w:r>
              <w:t xml:space="preserve">Excel, CSV and Word exports follow the user’s access</w:t>
            </w:r>
          </w:p>
        </w:tc>
        <w:tc>
          <w:p>
            <w:pPr>
              <w:pStyle w:val="Compact"/>
              <w:jc w:val="left"/>
            </w:pPr>
            <w:r>
              <w:t xml:space="preserve">Users handle exports under GPHA information-handling rules</w:t>
            </w:r>
          </w:p>
        </w:tc>
      </w:tr>
    </w:tbl>
    <w:p>
      <w:pPr>
        <w:pStyle w:val="Heading1"/>
      </w:pPr>
      <w:bookmarkStart w:id="30" w:name="routine-operations-calendar"/>
      <w:r>
        <w:t xml:space="preserve">7. Routine operations calendar</w:t>
      </w:r>
      <w:bookmarkEnd w:id="30"/>
    </w:p>
    <w:tbl>
      <w:tblPr>
        <w:tblStyle w:val="Table"/>
        <w:tblW w:type="pct" w:w="5000.0"/>
        <w:tblLook w:firstRow="1"/>
      </w:tblPr>
      <w:tblGrid>
        <w:gridCol w:w="1281"/>
        <w:gridCol w:w="5241"/>
        <w:gridCol w:w="139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p>
            <w:pPr>
              <w:pStyle w:val="Compact"/>
              <w:jc w:val="left"/>
            </w:pPr>
            <w:r>
              <w:t xml:space="preserve">Check that the newest backup exists; copy backups and uploads off-server</w:t>
            </w:r>
          </w:p>
        </w:tc>
        <w:tc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p>
            <w:pPr>
              <w:pStyle w:val="Compact"/>
              <w:jc w:val="left"/>
            </w:pPr>
            <w:r>
              <w:t xml:space="preserve">Review the notifications backlog and overdue actions report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p>
            <w:pPr>
              <w:pStyle w:val="Compact"/>
              <w:jc w:val="left"/>
            </w:pPr>
            <w:r>
              <w:t xml:space="preserve">Apply Windows and MySQL patches (after staging); review Activity logs for unusual activity</w:t>
            </w:r>
          </w:p>
        </w:tc>
        <w:tc>
          <w:p>
            <w:pPr>
              <w:pStyle w:val="Compact"/>
              <w:jc w:val="left"/>
            </w:pPr>
            <w:r>
              <w:t xml:space="preserve">IT / 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p>
            <w:pPr>
              <w:pStyle w:val="Compact"/>
              <w:jc w:val="left"/>
            </w:pPr>
            <w:r>
              <w:t xml:space="preserve">Access review (export users, confirm with managers, deactivate leavers);</w:t>
            </w:r>
            <w:r>
              <w:t xml:space="preserve"> </w:t>
            </w:r>
            <w:r>
              <w:rPr>
                <w:rStyle w:val="VerbatimChar"/>
              </w:rPr>
              <w:t xml:space="preserve">verify_backup</w:t>
            </w:r>
            <w:r>
              <w:t xml:space="preserve"> </w:t>
            </w:r>
            <w:r>
              <w:t xml:space="preserve">restore test; dependency check (</w:t>
            </w:r>
            <w:r>
              <w:rPr>
                <w:rStyle w:val="VerbatimChar"/>
              </w:rPr>
              <w:t xml:space="preserve">pip-audit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Admin /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p>
            <w:pPr>
              <w:pStyle w:val="Compact"/>
              <w:jc w:val="left"/>
            </w:pPr>
            <w:r>
              <w:t xml:space="preserve">Review configuration against approved methodology; review this manual; disaster-recovery exercise; refresher training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</w:tr>
    </w:tbl>
    <w:p>
      <w:pPr>
        <w:pStyle w:val="Heading1"/>
      </w:pPr>
      <w:bookmarkStart w:id="31" w:name="X6f53d56edaacb75113053ef4ffeacbed3d2ec77"/>
      <w:r>
        <w:t xml:space="preserve">8. Business continuity and disaster recovery</w:t>
      </w:r>
      <w:bookmarkEnd w:id="31"/>
    </w:p>
    <w:tbl>
      <w:tblPr>
        <w:tblStyle w:val="Table"/>
        <w:tblW w:type="pct" w:w="5000.0"/>
        <w:tblLook w:firstRow="1"/>
      </w:tblPr>
      <w:tblGrid>
        <w:gridCol w:w="2678"/>
        <w:gridCol w:w="524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crash</w:t>
            </w:r>
          </w:p>
        </w:tc>
        <w:tc>
          <w:p>
            <w:pPr>
              <w:pStyle w:val="Compact"/>
              <w:jc w:val="left"/>
            </w:pPr>
            <w:r>
              <w:t xml:space="preserve">NSSM restarts the service automatically; check the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unavailable</w:t>
            </w:r>
          </w:p>
        </w:tc>
        <w:tc>
          <w:p>
            <w:pPr>
              <w:pStyle w:val="Compact"/>
              <w:jc w:val="left"/>
            </w:pPr>
            <w:r>
              <w:t xml:space="preserve">Users see a red banner and nothing is saved; the app recovers and migrates automatically when the database returns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 lost</w:t>
            </w:r>
          </w:p>
        </w:tc>
        <w:tc>
          <w:p>
            <w:pPr>
              <w:pStyle w:val="Compact"/>
              <w:jc w:val="left"/>
            </w:pPr>
            <w:r>
              <w:t xml:space="preserve">Build a new server (Administration Guide §2.2); restore the newest encrypted backup and</w:t>
            </w:r>
            <w:r>
              <w:t xml:space="preserve"> </w:t>
            </w:r>
            <w:r>
              <w:rPr>
                <w:rStyle w:val="VerbatimChar"/>
              </w:rPr>
              <w:t xml:space="preserve">uploads\</w:t>
            </w:r>
            <w:r>
              <w:t xml:space="preserve">; restore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and the encryption key from secure storage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Ransomware / compromise</w:t>
            </w:r>
          </w:p>
        </w:tc>
        <w:tc>
          <w:p>
            <w:pPr>
              <w:pStyle w:val="Compact"/>
              <w:jc w:val="left"/>
            </w:pPr>
            <w:r>
              <w:t xml:space="preserve">Isolate the server; follow GPHA incident procedure; restore from an off-server backup taken before the incident; rotate secrets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 staff unavailable</w:t>
            </w:r>
          </w:p>
        </w:tc>
        <w:tc>
          <w:p>
            <w:pPr>
              <w:pStyle w:val="Compact"/>
              <w:jc w:val="left"/>
            </w:pPr>
            <w:r>
              <w:t xml:space="preserve">At least two Super Administrators; documented procedures (this pack)</w:t>
            </w:r>
          </w:p>
        </w:tc>
      </w:tr>
    </w:tbl>
    <w:p>
      <w:pPr>
        <w:pStyle w:val="BodyText"/>
      </w:pPr>
      <w:r>
        <w:t xml:space="preserve">Recovery objectives (RPO and RTO) are</w:t>
      </w:r>
      <w:r>
        <w:t xml:space="preserve"> </w:t>
      </w:r>
      <w:r>
        <w:rPr>
          <w:b/>
        </w:rPr>
        <w:t xml:space="preserve">GPHA to decide</w:t>
      </w:r>
      <w:r>
        <w:t xml:space="preserve"> </w:t>
      </w:r>
      <w:r>
        <w:t xml:space="preserve">(D9). With daily backups the default RPO is up to 24 hours.</w:t>
      </w:r>
    </w:p>
    <w:p>
      <w:pPr>
        <w:pStyle w:val="Heading1"/>
      </w:pPr>
      <w:bookmarkStart w:id="32" w:name="user-acceptance-testing-uat-and-go-live"/>
      <w:r>
        <w:t xml:space="preserve">9. User acceptance testing (UAT) and go-live</w:t>
      </w:r>
      <w:bookmarkEnd w:id="32"/>
    </w:p>
    <w:p>
      <w:pPr>
        <w:pStyle w:val="Heading2"/>
      </w:pPr>
      <w:bookmarkStart w:id="33" w:name="uat-approach"/>
      <w:r>
        <w:t xml:space="preserve">9.1 UAT approach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Run one real engagement end to end in a pilot (recommended: one HQ or Tema audit), with 3 to 5 auditors and one auditee unit.</w:t>
      </w:r>
    </w:p>
    <w:p>
      <w:pPr>
        <w:numPr>
          <w:ilvl w:val="0"/>
          <w:numId w:val="1005"/>
        </w:numPr>
        <w:pStyle w:val="Compact"/>
      </w:pPr>
      <w:r>
        <w:t xml:space="preserve">Use the scenarios in the Training Guide (06) as test scripts.</w:t>
      </w:r>
    </w:p>
    <w:p>
      <w:pPr>
        <w:numPr>
          <w:ilvl w:val="0"/>
          <w:numId w:val="1005"/>
        </w:numPr>
        <w:pStyle w:val="Compact"/>
      </w:pPr>
      <w:r>
        <w:t xml:space="preserve">Log every issue with its severity. Critical and High issues must be fixed before go-live.</w:t>
      </w:r>
    </w:p>
    <w:p>
      <w:pPr>
        <w:pStyle w:val="Heading2"/>
      </w:pPr>
      <w:bookmarkStart w:id="34" w:name="uat-sign-off-form-template"/>
      <w:r>
        <w:t xml:space="preserve">9.2 UAT sign-off form (template)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Scope tested (apps, roles, scenarios)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Test period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Open issues (number by severity)</w:t>
            </w:r>
          </w:p>
        </w:tc>
        <w:tc>
          <w:p>
            <w:pPr>
              <w:pStyle w:val="Compact"/>
              <w:jc w:val="left"/>
            </w:pPr>
            <w:r>
              <w:t xml:space="preserve">Critical: · High: · Medium: · Low: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Accepted with conditions?</w:t>
            </w:r>
          </w:p>
        </w:tc>
        <w:tc>
          <w:p>
            <w:pPr>
              <w:pStyle w:val="Compact"/>
              <w:jc w:val="left"/>
            </w:pPr>
            <w:r>
              <w:t xml:space="preserve">Yes / No: conditions: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Signed (system owner) / date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Signed (GM Audit) / date</w:t>
            </w:r>
          </w:p>
        </w:tc>
        <w:tc>
          <w:p/>
        </w:tc>
      </w:tr>
    </w:tbl>
    <w:p>
      <w:pPr>
        <w:pStyle w:val="Heading2"/>
      </w:pPr>
      <w:bookmarkStart w:id="35" w:name="go-live-checklist"/>
      <w:r>
        <w:t xml:space="preserve">9.3 Go-live checklist</w:t>
      </w:r>
      <w:bookmarkEnd w:id="35"/>
    </w:p>
    <w:tbl>
      <w:tblPr>
        <w:tblStyle w:val="Table"/>
        <w:tblW w:type="pct" w:w="5000.0"/>
        <w:tblLook w:firstRow="1"/>
      </w:tblPr>
      <w:tblGrid>
        <w:gridCol w:w="1300"/>
        <w:gridCol w:w="5319"/>
        <w:gridCol w:w="13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Decisions D1 to D16 recorded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Production server built; HTTPS working; readiness check OK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Backup restore proven (</w:t>
            </w:r>
            <w:r>
              <w:rPr>
                <w:rStyle w:val="VerbatimChar"/>
              </w:rPr>
              <w:t xml:space="preserve">verify_backup</w:t>
            </w:r>
            <w:r>
              <w:t xml:space="preserve"> </w:t>
            </w:r>
            <w:r>
              <w:t xml:space="preserve">output filed)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Encryption key and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stored securely, separately from backups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At least two Super Administrators; bootstrap password cleared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Reference data loaded (org structure, processes, universe, current plan, open findings)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Users created with correct job roles and workplaces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Configuration reviewed and approved by the GM Audit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Training delivered to every role; quick guides issued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Support contacts announced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Two-step verification enforced for the agreed roles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IT security review completed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UAT signed off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Heading1"/>
      </w:pPr>
      <w:bookmarkStart w:id="36" w:name="documentation-set"/>
      <w:r>
        <w:t xml:space="preserve">10. Documentation set</w:t>
      </w:r>
      <w:bookmarkEnd w:id="36"/>
    </w:p>
    <w:tbl>
      <w:tblPr>
        <w:tblStyle w:val="Table"/>
        <w:tblW w:type="pct" w:w="5000.0"/>
        <w:tblLook w:firstRow="1"/>
      </w:tblPr>
      <w:tblGrid>
        <w:gridCol w:w="720"/>
        <w:gridCol w:w="2945"/>
        <w:gridCol w:w="720"/>
        <w:gridCol w:w="1570"/>
        <w:gridCol w:w="785"/>
        <w:gridCol w:w="117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p>
            <w:pPr>
              <w:pStyle w:val="Compact"/>
              <w:jc w:val="left"/>
            </w:pPr>
            <w:r>
              <w:t xml:space="preserve">Documentation Index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Developers, IT, security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Technology Stack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IT management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major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Guide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Administrators, IT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Governance, Administration &amp; Operations Manual (this document)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Sponsor, owner, IT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Annually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User Manual (illustrated)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All users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Training Guide</w:t>
            </w:r>
          </w:p>
        </w:tc>
        <w:tc>
          <w:p>
            <w:pPr>
              <w:pStyle w:val="Compact"/>
              <w:jc w:val="left"/>
            </w:pPr>
            <w:r>
              <w:t xml:space="preserve">.md / .docx</w:t>
            </w:r>
          </w:p>
        </w:tc>
        <w:tc>
          <w:p>
            <w:pPr>
              <w:pStyle w:val="Compact"/>
              <w:jc w:val="left"/>
            </w:pPr>
            <w:r>
              <w:t xml:space="preserve">Trainers, participants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Training deck</w:t>
            </w:r>
          </w:p>
        </w:tc>
        <w:tc>
          <w:p>
            <w:pPr>
              <w:pStyle w:val="Compact"/>
              <w:jc w:val="left"/>
            </w:pPr>
            <w:r>
              <w:t xml:space="preserve">.pptx</w:t>
            </w:r>
          </w:p>
        </w:tc>
        <w:tc>
          <w:p>
            <w:pPr>
              <w:pStyle w:val="Compact"/>
              <w:jc w:val="left"/>
            </w:pPr>
            <w:r>
              <w:t xml:space="preserve">Trainers</w:t>
            </w:r>
          </w:p>
        </w:tc>
        <w:tc>
          <w:p>
            <w:pPr>
              <w:pStyle w:val="Compact"/>
              <w:jc w:val="left"/>
            </w:pPr>
            <w:r>
              <w:t xml:space="preserve">System owner</w:t>
            </w:r>
          </w:p>
        </w:tc>
        <w:tc>
          <w:p>
            <w:pPr>
              <w:pStyle w:val="Compact"/>
              <w:jc w:val="left"/>
            </w:pPr>
            <w:r>
              <w:t xml:space="preserve">Each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QA and test reports</w:t>
            </w:r>
          </w:p>
        </w:tc>
        <w:tc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Owner, IT</w:t>
            </w:r>
          </w:p>
        </w:tc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Each test cycle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mainBLUEPRINT.md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giaw-fastAPI.md</w:t>
            </w:r>
          </w:p>
        </w:tc>
        <w:tc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p>
            <w:pPr>
              <w:pStyle w:val="Compact"/>
              <w:jc w:val="left"/>
            </w:pPr>
            <w:r>
              <w:t xml:space="preserve">On change</w:t>
            </w:r>
          </w:p>
        </w:tc>
      </w:tr>
    </w:tbl>
    <w:sectPr>
      <w:footerReference w:type="default" r:id="rId9"/>
      <w:pgMar w:left="1134" w:right="1134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344054"/>
        <w:sz w:val="16"/>
      </w:rPr>
      <w:t xml:space="preserve">GPHA Internal Audit Workspace (GIAW) · INTERNAL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 w:cs="Calibri" w:eastAsia="Calibri"/>
      <w:color w:val="344054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 w:cs="Calibri" w:eastAsia="Calibri"/>
      <w:color w:val="344054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 w:cs="Calibri" w:eastAsia="Calibri"/>
      <w:color w:val="344054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 w:cs="Calibri" w:eastAsia="Calibri"/>
      <w:color w:val="344054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F2A4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 w:cs="Calibri" w:eastAsia="Calibri"/>
      <w:b w:val="0"/>
      <w:color w:val="1E60AE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  <w:color w:val="344054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 w:cs="Calibri" w:eastAsia="Calibri"/>
      <w:color w:val="344054"/>
      <w:sz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80" w:after="80"/>
      <w:outlineLvl w:val="0"/>
    </w:pPr>
    <w:rPr>
      <w:rFonts w:ascii="Calibri" w:hAnsi="Calibri" w:cs="Calibri" w:eastAsia="Calibri"/>
      <w:b/>
      <w:bCs/>
      <w:color w:val="1E60AE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80"/>
      <w:outlineLvl w:val="1"/>
    </w:pPr>
    <w:rPr>
      <w:rFonts w:ascii="Calibri" w:hAnsi="Calibri" w:cs="Calibri" w:eastAsia="Calibri"/>
      <w:b/>
      <w:bCs/>
      <w:color w:val="0F2A4A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/>
      <w:outlineLvl w:val="2"/>
    </w:pPr>
    <w:rPr>
      <w:rFonts w:ascii="Calibri" w:hAnsi="Calibri" w:cs="Calibri" w:eastAsia="Calibri"/>
      <w:b/>
      <w:bCs/>
      <w:color w:val="1E60AE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/>
      <w:outlineLvl w:val="3"/>
    </w:pPr>
    <w:rPr>
      <w:rFonts w:ascii="Calibri" w:hAnsi="Calibri" w:cs="Calibri" w:eastAsia="Calibri"/>
      <w:i/>
      <w:b/>
      <w:bCs/>
      <w:color w:val="0F2A4A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3CAD6"/>
        <w:left w:val="single" w:sz="4" w:space="0" w:color="C3CAD6"/>
        <w:bottom w:val="single" w:sz="4" w:space="0" w:color="C3CAD6"/>
        <w:right w:val="single" w:sz="4" w:space="0" w:color="C3CAD6"/>
        <w:insideH w:val="single" w:sz="4" w:space="0" w:color="C3CAD6"/>
        <w:insideV w:val="single" w:sz="4" w:space="0" w:color="C3CAD6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FFFFFF"/>
      </w:rPr>
      <w:tcPr>
        <w:shd w:val="clear" w:color="auto" w:fill="1E60AE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color w:val="344054"/>
      <w:sz w:val="21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color w:val="344054"/>
      <w:sz w:val="21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0F2A4A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/>
      <w:bCs w:val="0"/>
      <w:color w:val="1E60AE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GIAW — Governance, Administration and Operations Manual</dc:title>
  <dc:creator>GPHA Internal Audit Department</dc:creator>
  <cp:keywords/>
  <dcterms:created xsi:type="dcterms:W3CDTF">2026-10-19T05:10:23Z</dcterms:created>
  <dcterms:modified xsi:type="dcterms:W3CDTF">2026-10-19T05:10:23Z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16 October 2026</vt:lpwstr>
  </property>
  <property fmtid="{D5CDD505-2E9C-101B-9397-08002B2CF9AE}" pid="3" name="subtitle">
    <vt:lpwstr>Ownership, decisions, change control, support, data governance, go-live and continuity</vt:lpwstr>
  </property>
</Properties>
</file>