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MAINPLAN</w:t>
      </w:r>
      <w:r>
        <w:t xml:space="preserve"> </w:t>
      </w:r>
      <w:r>
        <w:t xml:space="preserve">—</w:t>
      </w:r>
      <w:r>
        <w:t xml:space="preserve"> </w:t>
      </w:r>
      <w:r>
        <w:t xml:space="preserve">GPHA</w:t>
      </w:r>
      <w:r>
        <w:t xml:space="preserve"> </w:t>
      </w:r>
      <w:r>
        <w:t xml:space="preserve">Internal</w:t>
      </w:r>
      <w:r>
        <w:t xml:space="preserve"> </w:t>
      </w:r>
      <w:r>
        <w:t xml:space="preserve">Audit</w:t>
      </w:r>
      <w:r>
        <w:t xml:space="preserve"> </w:t>
      </w:r>
      <w:r>
        <w:t xml:space="preserve">Workspace</w:t>
      </w:r>
      <w:r>
        <w:t xml:space="preserve"> </w:t>
      </w:r>
      <w:r>
        <w:t xml:space="preserve">(GIAW)</w:t>
      </w:r>
    </w:p>
    <w:p>
      <w:pPr>
        <w:pStyle w:val="Subtitle"/>
      </w:pPr>
      <w:r>
        <w:t xml:space="preserve">End-to-end</w:t>
      </w:r>
      <w:r>
        <w:t xml:space="preserve"> </w:t>
      </w:r>
      <w:r>
        <w:t xml:space="preserve">project</w:t>
      </w:r>
      <w:r>
        <w:t xml:space="preserve"> </w:t>
      </w:r>
      <w:r>
        <w:t xml:space="preserve">plan</w:t>
      </w:r>
      <w:r>
        <w:t xml:space="preserve"> </w:t>
      </w:r>
      <w:r>
        <w:t xml:space="preserve">and</w:t>
      </w:r>
      <w:r>
        <w:t xml:space="preserve"> </w:t>
      </w:r>
      <w:r>
        <w:t xml:space="preserve">conversion</w:t>
      </w:r>
      <w:r>
        <w:t xml:space="preserve"> </w:t>
      </w:r>
      <w:r>
        <w:t xml:space="preserve">of</w:t>
      </w:r>
      <w:r>
        <w:t xml:space="preserve"> </w:t>
      </w:r>
      <w:r>
        <w:t xml:space="preserve">the</w:t>
      </w:r>
      <w:r>
        <w:t xml:space="preserve"> </w:t>
      </w:r>
      <w:r>
        <w:t xml:space="preserve">GPHA</w:t>
      </w:r>
      <w:r>
        <w:t xml:space="preserve"> </w:t>
      </w:r>
      <w:r>
        <w:t xml:space="preserve">Internal</w:t>
      </w:r>
      <w:r>
        <w:t xml:space="preserve"> </w:t>
      </w:r>
      <w:r>
        <w:t xml:space="preserve">Audit</w:t>
      </w:r>
      <w:r>
        <w:t xml:space="preserve"> </w:t>
      </w:r>
      <w:r>
        <w:t xml:space="preserve">procedures</w:t>
      </w:r>
      <w:r>
        <w:t xml:space="preserve"> </w:t>
      </w:r>
      <w:r>
        <w:t xml:space="preserve">and</w:t>
      </w:r>
      <w:r>
        <w:t xml:space="preserve"> </w:t>
      </w:r>
      <w:r>
        <w:t xml:space="preserve">processes</w:t>
      </w:r>
      <w:r>
        <w:t xml:space="preserve"> </w:t>
      </w:r>
      <w:r>
        <w:t xml:space="preserve">into</w:t>
      </w:r>
      <w:r>
        <w:t xml:space="preserve"> </w:t>
      </w:r>
      <w:r>
        <w:t xml:space="preserve">GIAW</w:t>
      </w:r>
      <w:r>
        <w:t xml:space="preserve"> </w:t>
      </w:r>
      <w:r>
        <w:t xml:space="preserve">·</w:t>
      </w:r>
      <w:r>
        <w:t xml:space="preserve"> </w:t>
      </w:r>
      <w:r>
        <w:t xml:space="preserve">Submitted</w:t>
      </w:r>
      <w:r>
        <w:t xml:space="preserve"> </w:t>
      </w:r>
      <w:r>
        <w:t xml:space="preserve">for</w:t>
      </w:r>
      <w:r>
        <w:t xml:space="preserve"> </w:t>
      </w:r>
      <w:r>
        <w:t xml:space="preserve">approval</w:t>
      </w:r>
    </w:p>
    <w:p>
      <w:pPr>
        <w:pStyle w:val="Author"/>
      </w:pPr>
      <w:r>
        <w:t xml:space="preserve">GPHA</w:t>
      </w:r>
      <w:r>
        <w:t xml:space="preserve"> </w:t>
      </w:r>
      <w:r>
        <w:t xml:space="preserve">Internal</w:t>
      </w:r>
      <w:r>
        <w:t xml:space="preserve"> </w:t>
      </w:r>
      <w:r>
        <w:t xml:space="preserve">Audit</w:t>
      </w:r>
      <w:r>
        <w:t xml:space="preserve"> </w:t>
      </w:r>
      <w:r>
        <w:t xml:space="preserve">Department</w:t>
      </w:r>
    </w:p>
    <w:p>
      <w:pPr>
        <w:pStyle w:val="Date"/>
      </w:pPr>
      <w:r>
        <w:t xml:space="preserve">Version</w:t>
      </w:r>
      <w:r>
        <w:t xml:space="preserve"> </w:t>
      </w:r>
      <w:r>
        <w:t xml:space="preserve">1.0</w:t>
      </w:r>
      <w:r>
        <w:t xml:space="preserve"> </w:t>
      </w:r>
      <w:r>
        <w:t xml:space="preserve">·</w:t>
      </w:r>
      <w:r>
        <w:t xml:space="preserve"> </w:t>
      </w:r>
      <w:r>
        <w:t xml:space="preserve">16</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2262"/>
        <w:gridCol w:w="5657"/>
      </w:tblGrid>
      <w:tr>
        <w:trPr>
          <w:tblHeader w:val="true"/>
          <w:tblHeader w:val="true"/>
        </w:trPr>
        <w:tc>
          <w:tcPr>
            <w:shd w:val="clear" w:color="auto" w:fill="1E60AE"/>
          </w:tcPr>
          <w:p>
            <w:pPr>
              <w:pStyle w:val="Compact"/>
              <w:jc w:val="left"/>
            </w:pPr>
            <w:r>
              <w:rPr>
                <w:b/>
                <w:color w:val="FFFFFF"/>
              </w:rPr>
              <w:t xml:space="preserve">Item</w:t>
            </w:r>
          </w:p>
        </w:tc>
        <w:tc>
          <w:tcPr>
            <w:shd w:val="clear" w:color="auto" w:fill="1E60AE"/>
          </w:tcPr>
          <w:p>
            <w:pPr>
              <w:pStyle w:val="Compact"/>
              <w:jc w:val="left"/>
            </w:pPr>
            <w:r>
              <w:rPr>
                <w:b/>
                <w:color w:val="FFFFFF"/>
              </w:rPr>
              <w:t xml:space="preserve">Value</w:t>
            </w:r>
          </w:p>
        </w:tc>
      </w:tr>
      <w:tr>
        <w:tc>
          <w:tcPr/>
          <w:p>
            <w:pPr>
              <w:pStyle w:val="Compact"/>
              <w:jc w:val="left"/>
            </w:pPr>
            <w:r>
              <w:t xml:space="preserve">Document</w:t>
            </w:r>
          </w:p>
        </w:tc>
        <w:tc>
          <w:tcPr/>
          <w:p>
            <w:pPr>
              <w:pStyle w:val="Compact"/>
              <w:jc w:val="left"/>
            </w:pPr>
            <w:r>
              <w:t xml:space="preserve">MAINPLAN: project plan and process conversion plan for the GPHA Internal Audit Workspace (GIAW)</w:t>
            </w:r>
          </w:p>
        </w:tc>
      </w:tr>
      <w:tr>
        <w:tc>
          <w:tcPr/>
          <w:p>
            <w:pPr>
              <w:pStyle w:val="Compact"/>
              <w:jc w:val="left"/>
            </w:pPr>
            <w:r>
              <w:t xml:space="preserve">Version</w:t>
            </w:r>
          </w:p>
        </w:tc>
        <w:tc>
          <w:tcPr/>
          <w:p>
            <w:pPr>
              <w:pStyle w:val="Compact"/>
              <w:jc w:val="left"/>
            </w:pPr>
            <w:r>
              <w:t xml:space="preserve">1.0 (submitted for approval)</w:t>
            </w:r>
          </w:p>
        </w:tc>
      </w:tr>
      <w:tr>
        <w:tc>
          <w:tcPr/>
          <w:p>
            <w:pPr>
              <w:pStyle w:val="Compact"/>
              <w:jc w:val="left"/>
            </w:pPr>
            <w:r>
              <w:t xml:space="preserve">Date</w:t>
            </w:r>
          </w:p>
        </w:tc>
        <w:tc>
          <w:tcPr/>
          <w:p>
            <w:pPr>
              <w:pStyle w:val="Compact"/>
              <w:jc w:val="left"/>
            </w:pPr>
            <w:r>
              <w:t xml:space="preserve">16 October 2026</w:t>
            </w:r>
          </w:p>
        </w:tc>
      </w:tr>
      <w:tr>
        <w:tc>
          <w:tcPr/>
          <w:p>
            <w:pPr>
              <w:pStyle w:val="Compact"/>
              <w:jc w:val="left"/>
            </w:pPr>
            <w:r>
              <w:t xml:space="preserve">Prepared by</w:t>
            </w:r>
          </w:p>
        </w:tc>
        <w:tc>
          <w:tcPr/>
          <w:p>
            <w:pPr>
              <w:pStyle w:val="Compact"/>
              <w:jc w:val="left"/>
            </w:pPr>
            <w:r>
              <w:t xml:space="preserve">GIAW project team, Internal Audit Department</w:t>
            </w:r>
          </w:p>
        </w:tc>
      </w:tr>
      <w:tr>
        <w:tc>
          <w:tcPr/>
          <w:p>
            <w:pPr>
              <w:pStyle w:val="Compact"/>
              <w:jc w:val="left"/>
            </w:pPr>
            <w:r>
              <w:t xml:space="preserve">Submitted to</w:t>
            </w:r>
          </w:p>
        </w:tc>
        <w:tc>
          <w:tcPr/>
          <w:p>
            <w:pPr>
              <w:pStyle w:val="Compact"/>
              <w:jc w:val="left"/>
            </w:pPr>
            <w:r>
              <w:t xml:space="preserve">General Manager, Internal Audit (Chief Audit Executive), for approval and onward submission to Management and the Audit Committee as required</w:t>
            </w:r>
          </w:p>
        </w:tc>
      </w:tr>
      <w:tr>
        <w:tc>
          <w:tcPr/>
          <w:p>
            <w:pPr>
              <w:pStyle w:val="Compact"/>
              <w:jc w:val="left"/>
            </w:pPr>
            <w:r>
              <w:t xml:space="preserve">Controlled process</w:t>
            </w:r>
          </w:p>
        </w:tc>
        <w:tc>
          <w:tcPr/>
          <w:p>
            <w:pPr>
              <w:pStyle w:val="Compact"/>
              <w:jc w:val="left"/>
            </w:pPr>
            <w:r>
              <w:t xml:space="preserve">IMS_PS_004_AU03 (Internal Audit process)</w:t>
            </w:r>
          </w:p>
        </w:tc>
      </w:tr>
      <w:tr>
        <w:tc>
          <w:tcPr/>
          <w:p>
            <w:pPr>
              <w:pStyle w:val="Compact"/>
              <w:jc w:val="left"/>
            </w:pPr>
            <w:r>
              <w:t xml:space="preserve">Related documents</w:t>
            </w:r>
          </w:p>
        </w:tc>
        <w:tc>
          <w:tcPr/>
          <w:p>
            <w:pPr>
              <w:pStyle w:val="Compact"/>
              <w:jc w:val="left"/>
            </w:pPr>
            <w:r>
              <w:t xml:space="preserve">Documentation set 00 to 07 (</w:t>
            </w:r>
            <w:r>
              <w:rPr>
                <w:rStyle w:val="VerbatimChar"/>
              </w:rPr>
              <w:t xml:space="preserve">docs/manuals</w:t>
            </w:r>
            <w:r>
              <w:t xml:space="preserve">), QA report of 15 October 2026,</w:t>
            </w:r>
            <w:r>
              <w:t xml:space="preserve"> </w:t>
            </w:r>
            <w:r>
              <w:rPr>
                <w:rStyle w:val="VerbatimChar"/>
              </w:rPr>
              <w:t xml:space="preserve">mainBLUEPRINT.md</w:t>
            </w:r>
            <w:r>
              <w:t xml:space="preserve">,</w:t>
            </w:r>
            <w:r>
              <w:t xml:space="preserve"> </w:t>
            </w:r>
            <w:r>
              <w:rPr>
                <w:rStyle w:val="VerbatimChar"/>
              </w:rPr>
              <w:t xml:space="preserve">deploy/PRODUCTION.md</w:t>
            </w:r>
            <w:r>
              <w:t xml:space="preserve">,</w:t>
            </w:r>
            <w:r>
              <w:t xml:space="preserve"> </w:t>
            </w:r>
            <w:r>
              <w:rPr>
                <w:iCs/>
                <w:i/>
              </w:rPr>
              <w:t xml:space="preserve">GPHA Audit Department Overview</w:t>
            </w:r>
          </w:p>
        </w:tc>
      </w:tr>
      <w:tr>
        <w:tc>
          <w:tcPr/>
          <w:p>
            <w:pPr>
              <w:pStyle w:val="Compact"/>
              <w:jc w:val="left"/>
            </w:pPr>
            <w:r>
              <w:t xml:space="preserve">Classification</w:t>
            </w:r>
          </w:p>
        </w:tc>
        <w:tc>
          <w:tcPr/>
          <w:p>
            <w:pPr>
              <w:pStyle w:val="Compact"/>
              <w:jc w:val="left"/>
            </w:pPr>
            <w:r>
              <w:t xml:space="preserve">Internal</w:t>
            </w:r>
          </w:p>
        </w:tc>
      </w:tr>
    </w:tbl>
    <w:p>
      <w:pPr>
        <w:pStyle w:val="BodyText"/>
      </w:pPr>
      <w:r>
        <w:rPr>
          <w:bCs/>
          <w:b/>
        </w:rPr>
        <w:t xml:space="preserve">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1E60AE"/>
          </w:tcPr>
          <w:p>
            <w:pPr>
              <w:pStyle w:val="Compact"/>
              <w:jc w:val="left"/>
            </w:pPr>
            <w:r>
              <w:rPr>
                <w:b/>
                <w:color w:val="FFFFFF"/>
              </w:rPr>
              <w:t xml:space="preserve">Version</w:t>
            </w:r>
          </w:p>
        </w:tc>
        <w:tc>
          <w:tcPr>
            <w:shd w:val="clear" w:color="auto" w:fill="1E60AE"/>
          </w:tcPr>
          <w:p>
            <w:pPr>
              <w:pStyle w:val="Compact"/>
              <w:jc w:val="left"/>
            </w:pPr>
            <w:r>
              <w:rPr>
                <w:b/>
                <w:color w:val="FFFFFF"/>
              </w:rPr>
              <w:t xml:space="preserve">Date</w:t>
            </w:r>
          </w:p>
        </w:tc>
        <w:tc>
          <w:tcPr>
            <w:shd w:val="clear" w:color="auto" w:fill="1E60AE"/>
          </w:tcPr>
          <w:p>
            <w:pPr>
              <w:pStyle w:val="Compact"/>
              <w:jc w:val="left"/>
            </w:pPr>
            <w:r>
              <w:rPr>
                <w:b/>
                <w:color w:val="FFFFFF"/>
              </w:rPr>
              <w:t xml:space="preserve">Change</w:t>
            </w:r>
          </w:p>
        </w:tc>
        <w:tc>
          <w:tcPr>
            <w:shd w:val="clear" w:color="auto" w:fill="1E60AE"/>
          </w:tcPr>
          <w:p>
            <w:pPr>
              <w:pStyle w:val="Compact"/>
              <w:jc w:val="left"/>
            </w:pPr>
            <w:r>
              <w:rPr>
                <w:b/>
                <w:color w:val="FFFFFF"/>
              </w:rPr>
              <w:t xml:space="preserve">By</w:t>
            </w:r>
          </w:p>
        </w:tc>
      </w:tr>
      <w:tr>
        <w:tc>
          <w:tcPr/>
          <w:p>
            <w:pPr>
              <w:pStyle w:val="Compact"/>
              <w:jc w:val="left"/>
            </w:pPr>
            <w:r>
              <w:t xml:space="preserve">1.0</w:t>
            </w:r>
          </w:p>
        </w:tc>
        <w:tc>
          <w:tcPr/>
          <w:p>
            <w:pPr>
              <w:pStyle w:val="Compact"/>
              <w:jc w:val="left"/>
            </w:pPr>
            <w:r>
              <w:t xml:space="preserve">16 Oct 2026</w:t>
            </w:r>
          </w:p>
        </w:tc>
        <w:tc>
          <w:tcPr/>
          <w:p>
            <w:pPr>
              <w:pStyle w:val="Compact"/>
              <w:jc w:val="left"/>
            </w:pPr>
            <w:r>
              <w:t xml:space="preserve">First issue for approval</w:t>
            </w:r>
          </w:p>
        </w:tc>
        <w:tc>
          <w:tcPr/>
          <w:p>
            <w:pPr>
              <w:pStyle w:val="Compact"/>
              <w:jc w:val="left"/>
            </w:pPr>
            <w:r>
              <w:t xml:space="preserve">GIAW project team</w:t>
            </w:r>
          </w:p>
        </w:tc>
      </w:tr>
    </w:tbl>
    <w:bookmarkEnd w:id="20"/>
    <w:bookmarkStart w:id="21" w:name="executive-summary"/>
    <w:p>
      <w:pPr>
        <w:pStyle w:val="Heading1"/>
      </w:pPr>
      <w:r>
        <w:t xml:space="preserve">1. Executive summary</w:t>
      </w:r>
    </w:p>
    <w:p>
      <w:pPr>
        <w:pStyle w:val="FirstParagraph"/>
      </w:pPr>
      <w:r>
        <w:t xml:space="preserve">GPHA Internal Audit has used a mix of the retired</w:t>
      </w:r>
      <w:r>
        <w:t xml:space="preserve"> </w:t>
      </w:r>
      <w:r>
        <w:rPr>
          <w:iCs/>
          <w:i/>
        </w:rPr>
        <w:t xml:space="preserve">Audit Manager</w:t>
      </w:r>
      <w:r>
        <w:t xml:space="preserve"> </w:t>
      </w:r>
      <w:r>
        <w:t xml:space="preserve">application, Word and Excel working papers, registers kept by individual units, and e-mail to plan, perform, report and follow up audits at Headquarters, Tema and Takoradi. This makes it hard to see the whole audit programme in one place, to prove who reviewed what, and to show the Audit Committee that agreed actions were actually completed.</w:t>
      </w:r>
    </w:p>
    <w:p>
      <w:pPr>
        <w:pStyle w:val="BodyText"/>
      </w:pPr>
      <w:r>
        <w:t xml:space="preserve">The</w:t>
      </w:r>
      <w:r>
        <w:t xml:space="preserve"> </w:t>
      </w:r>
      <w:r>
        <w:rPr>
          <w:bCs/>
          <w:b/>
        </w:rPr>
        <w:t xml:space="preserve">GPHA Internal Audit Workspace (GIAW)</w:t>
      </w:r>
      <w:r>
        <w:t xml:space="preserve"> </w:t>
      </w:r>
      <w:r>
        <w:t xml:space="preserve">is a web application built for GPHA to replace that arrangement with one controlled system. It follows the GPHA Internal Audit process (IMS_PS_004_AU03), the GPHA review chain and the six audit streams, and it is organised in the familiar</w:t>
      </w:r>
      <w:r>
        <w:t xml:space="preserve"> </w:t>
      </w:r>
      <w:r>
        <w:t xml:space="preserve">“</w:t>
      </w:r>
      <w:r>
        <w:t xml:space="preserve">workspace of apps</w:t>
      </w:r>
      <w:r>
        <w:t xml:space="preserve">”</w:t>
      </w:r>
      <w:r>
        <w:t xml:space="preserve"> </w:t>
      </w:r>
      <w:r>
        <w:t xml:space="preserve">style used by leading audit software.</w:t>
      </w:r>
    </w:p>
    <w:p>
      <w:pPr>
        <w:pStyle w:val="BodyText"/>
      </w:pPr>
      <w:r>
        <w:rPr>
          <w:bCs/>
          <w:b/>
        </w:rPr>
        <w:t xml:space="preserve">Where the project stands today (16 October 2026)</w:t>
      </w:r>
    </w:p>
    <w:p>
      <w:pPr>
        <w:numPr>
          <w:ilvl w:val="0"/>
          <w:numId w:val="1001"/>
        </w:numPr>
        <w:pStyle w:val="Compact"/>
      </w:pPr>
      <w:r>
        <w:t xml:space="preserve">The software is</w:t>
      </w:r>
      <w:r>
        <w:t xml:space="preserve"> </w:t>
      </w:r>
      <w:r>
        <w:rPr>
          <w:bCs/>
          <w:b/>
        </w:rPr>
        <w:t xml:space="preserve">built and tested</w:t>
      </w:r>
      <w:r>
        <w:t xml:space="preserve">: 31 apps, 5 job roles, 51 permissions, an append-only audit trail, encrypted files and backups, Word report output.</w:t>
      </w:r>
    </w:p>
    <w:p>
      <w:pPr>
        <w:numPr>
          <w:ilvl w:val="0"/>
          <w:numId w:val="1001"/>
        </w:numPr>
        <w:pStyle w:val="Compact"/>
      </w:pPr>
      <w:r>
        <w:rPr>
          <w:bCs/>
          <w:b/>
        </w:rPr>
        <w:t xml:space="preserve">159 automated tests pass</w:t>
      </w:r>
      <w:r>
        <w:t xml:space="preserve"> </w:t>
      </w:r>
      <w:r>
        <w:t xml:space="preserve">(150 system tests and 9 browser tests). An independent-style end-to-end QA review (15 October 2026) found</w:t>
      </w:r>
      <w:r>
        <w:t xml:space="preserve"> </w:t>
      </w:r>
      <w:r>
        <w:rPr>
          <w:bCs/>
          <w:b/>
        </w:rPr>
        <w:t xml:space="preserve">no Critical or High defects</w:t>
      </w:r>
      <w:r>
        <w:t xml:space="preserve">; 72 of 75 scripted checks passed.</w:t>
      </w:r>
    </w:p>
    <w:p>
      <w:pPr>
        <w:numPr>
          <w:ilvl w:val="0"/>
          <w:numId w:val="1001"/>
        </w:numPr>
        <w:pStyle w:val="Compact"/>
      </w:pPr>
      <w:r>
        <w:t xml:space="preserve">A complete documentation set has been produced: technical, technology stack, administration, governance and operations, user manual with screenshots, training guide and training slides.</w:t>
      </w:r>
    </w:p>
    <w:p>
      <w:pPr>
        <w:pStyle w:val="FirstParagraph"/>
      </w:pPr>
      <w:r>
        <w:rPr>
          <w:bCs/>
          <w:b/>
        </w:rPr>
        <w:t xml:space="preserve">Approval requested.</w:t>
      </w:r>
      <w:r>
        <w:t xml:space="preserve"> </w:t>
      </w:r>
      <w:r>
        <w:t xml:space="preserve">Management is asked to:</w:t>
      </w:r>
    </w:p>
    <w:p>
      <w:pPr>
        <w:numPr>
          <w:ilvl w:val="0"/>
          <w:numId w:val="1002"/>
        </w:numPr>
        <w:pStyle w:val="Compact"/>
      </w:pPr>
      <w:r>
        <w:rPr>
          <w:bCs/>
          <w:b/>
        </w:rPr>
        <w:t xml:space="preserve">Approve GIAW</w:t>
      </w:r>
      <w:r>
        <w:t xml:space="preserve"> </w:t>
      </w:r>
      <w:r>
        <w:t xml:space="preserve">as the official Internal Audit management system of GPHA, replacing the retired Audit Manager.</w:t>
      </w:r>
    </w:p>
    <w:p>
      <w:pPr>
        <w:numPr>
          <w:ilvl w:val="0"/>
          <w:numId w:val="1002"/>
        </w:numPr>
        <w:pStyle w:val="Compact"/>
      </w:pPr>
      <w:r>
        <w:rPr>
          <w:bCs/>
          <w:b/>
        </w:rPr>
        <w:t xml:space="preserve">Approve this plan</w:t>
      </w:r>
      <w:r>
        <w:t xml:space="preserve">: the process conversion in section 6 and the implementation stages and timeline in section 9.</w:t>
      </w:r>
    </w:p>
    <w:p>
      <w:pPr>
        <w:numPr>
          <w:ilvl w:val="0"/>
          <w:numId w:val="1002"/>
        </w:numPr>
        <w:pStyle w:val="Compact"/>
      </w:pPr>
      <w:r>
        <w:rPr>
          <w:bCs/>
          <w:b/>
        </w:rPr>
        <w:t xml:space="preserve">Authorise the next steps</w:t>
      </w:r>
      <w:r>
        <w:t xml:space="preserve">: provide a production server, nominate the project roles (section 11), take the 16 decisions listed in section 7.2, and run a pilot followed by a staged go-live (Headquarters first, then Tema and Takoradi).</w:t>
      </w:r>
    </w:p>
    <w:bookmarkEnd w:id="21"/>
    <w:bookmarkStart w:id="25" w:name="background-and-objectives"/>
    <w:p>
      <w:pPr>
        <w:pStyle w:val="Heading1"/>
      </w:pPr>
      <w:r>
        <w:t xml:space="preserve">2. Background and objectives</w:t>
      </w:r>
    </w:p>
    <w:bookmarkStart w:id="22" w:name="background"/>
    <w:p>
      <w:pPr>
        <w:pStyle w:val="Heading2"/>
      </w:pPr>
      <w:r>
        <w:t xml:space="preserve">2.1 Background</w:t>
      </w:r>
    </w:p>
    <w:p>
      <w:pPr>
        <w:numPr>
          <w:ilvl w:val="0"/>
          <w:numId w:val="1003"/>
        </w:numPr>
        <w:pStyle w:val="Compact"/>
      </w:pPr>
      <w:r>
        <w:t xml:space="preserve">GPHA Internal Audit appraises internal controls and gives assurance on the judicious use of resources and financial accountability across the Authority.</w:t>
      </w:r>
    </w:p>
    <w:p>
      <w:pPr>
        <w:numPr>
          <w:ilvl w:val="0"/>
          <w:numId w:val="1003"/>
        </w:numPr>
        <w:pStyle w:val="Compact"/>
      </w:pPr>
      <w:r>
        <w:t xml:space="preserve">The department works under the controlled process</w:t>
      </w:r>
      <w:r>
        <w:t xml:space="preserve"> </w:t>
      </w:r>
      <w:r>
        <w:rPr>
          <w:bCs/>
          <w:b/>
        </w:rPr>
        <w:t xml:space="preserve">IMS_PS_004_AU03</w:t>
      </w:r>
      <w:r>
        <w:t xml:space="preserve">. The GM Internal Audit owns the process; the Principal Internal Auditor (PIA) is the deputy.</w:t>
      </w:r>
    </w:p>
    <w:p>
      <w:pPr>
        <w:numPr>
          <w:ilvl w:val="0"/>
          <w:numId w:val="1003"/>
        </w:numPr>
        <w:pStyle w:val="Compact"/>
      </w:pPr>
      <w:r>
        <w:t xml:space="preserve">Work is carried out by units for Revenue, Expenditure, Operations, Special Duties, the Fishing Harbour and Hospital, and IT Audit, at Headquarters, Tema and Takoradi.</w:t>
      </w:r>
    </w:p>
    <w:p>
      <w:pPr>
        <w:numPr>
          <w:ilvl w:val="0"/>
          <w:numId w:val="1003"/>
        </w:numPr>
        <w:pStyle w:val="Compact"/>
      </w:pPr>
      <w:r>
        <w:t xml:space="preserve">The previous Audit Manager application is retired. Much of the work now lives in separate files and registers, which weakens version control, review evidence, follow-up and consolidated reporting.</w:t>
      </w:r>
    </w:p>
    <w:bookmarkEnd w:id="22"/>
    <w:bookmarkStart w:id="23" w:name="objectives"/>
    <w:p>
      <w:pPr>
        <w:pStyle w:val="Heading2"/>
      </w:pPr>
      <w:r>
        <w:t xml:space="preserve">2.2 Objectives</w:t>
      </w:r>
    </w:p>
    <w:tbl>
      <w:tblPr>
        <w:tblStyle w:val="Table"/>
        <w:tblW w:type="pct" w:w="5000"/>
        <w:tblLook w:firstRow="1" w:lastRow="0" w:firstColumn="0" w:lastColumn="0" w:noHBand="0" w:noVBand="0" w:val="0020"/>
        <w:jc w:val="start"/>
      </w:tblPr>
      <w:tblGrid>
        <w:gridCol w:w="862"/>
        <w:gridCol w:w="3528"/>
        <w:gridCol w:w="3528"/>
      </w:tblGrid>
      <w:tr>
        <w:trPr>
          <w:tblHeader w:val="true"/>
          <w:tblHeader w:val="true"/>
        </w:trPr>
        <w:tc>
          <w:tcPr>
            <w:shd w:val="clear" w:color="auto" w:fill="1E60AE"/>
          </w:tcPr>
          <w:p>
            <w:pPr>
              <w:pStyle w:val="Compact"/>
              <w:jc w:val="left"/>
            </w:pPr>
            <w:r>
              <w:rPr>
                <w:b/>
                <w:color w:val="FFFFFF"/>
              </w:rPr>
              <w:t xml:space="preserve">#</w:t>
            </w:r>
          </w:p>
        </w:tc>
        <w:tc>
          <w:tcPr>
            <w:shd w:val="clear" w:color="auto" w:fill="1E60AE"/>
          </w:tcPr>
          <w:p>
            <w:pPr>
              <w:pStyle w:val="Compact"/>
              <w:jc w:val="left"/>
            </w:pPr>
            <w:r>
              <w:rPr>
                <w:b/>
                <w:color w:val="FFFFFF"/>
              </w:rPr>
              <w:t xml:space="preserve">Objective</w:t>
            </w:r>
          </w:p>
        </w:tc>
        <w:tc>
          <w:tcPr>
            <w:shd w:val="clear" w:color="auto" w:fill="1E60AE"/>
          </w:tcPr>
          <w:p>
            <w:pPr>
              <w:pStyle w:val="Compact"/>
              <w:jc w:val="left"/>
            </w:pPr>
            <w:r>
              <w:rPr>
                <w:b/>
                <w:color w:val="FFFFFF"/>
              </w:rPr>
              <w:t xml:space="preserve">How GIAW meets it</w:t>
            </w:r>
          </w:p>
        </w:tc>
      </w:tr>
      <w:tr>
        <w:tc>
          <w:tcPr/>
          <w:p>
            <w:pPr>
              <w:pStyle w:val="Compact"/>
              <w:jc w:val="left"/>
            </w:pPr>
            <w:r>
              <w:t xml:space="preserve">O1</w:t>
            </w:r>
          </w:p>
        </w:tc>
        <w:tc>
          <w:tcPr/>
          <w:p>
            <w:pPr>
              <w:pStyle w:val="Compact"/>
              <w:jc w:val="left"/>
            </w:pPr>
            <w:r>
              <w:t xml:space="preserve">One controlled system for the whole audit lifecycle</w:t>
            </w:r>
          </w:p>
        </w:tc>
        <w:tc>
          <w:tcPr/>
          <w:p>
            <w:pPr>
              <w:pStyle w:val="Compact"/>
              <w:jc w:val="left"/>
            </w:pPr>
            <w:r>
              <w:t xml:space="preserve">Universe → risk assessment → annual plan → engagement → report → follow-up → Committee, in one application</w:t>
            </w:r>
          </w:p>
        </w:tc>
      </w:tr>
      <w:tr>
        <w:tc>
          <w:tcPr/>
          <w:p>
            <w:pPr>
              <w:pStyle w:val="Compact"/>
              <w:jc w:val="left"/>
            </w:pPr>
            <w:r>
              <w:t xml:space="preserve">O2</w:t>
            </w:r>
          </w:p>
        </w:tc>
        <w:tc>
          <w:tcPr/>
          <w:p>
            <w:pPr>
              <w:pStyle w:val="Compact"/>
              <w:jc w:val="left"/>
            </w:pPr>
            <w:r>
              <w:t xml:space="preserve">Follow the GPHA process and review chain exactly</w:t>
            </w:r>
          </w:p>
        </w:tc>
        <w:tc>
          <w:tcPr/>
          <w:p>
            <w:pPr>
              <w:pStyle w:val="Compact"/>
              <w:jc w:val="left"/>
            </w:pPr>
            <w:r>
              <w:t xml:space="preserve">Review levels Unit Head, Audit Manager, PIA and GM Audit (CAE); configurable without programming</w:t>
            </w:r>
          </w:p>
        </w:tc>
      </w:tr>
      <w:tr>
        <w:tc>
          <w:tcPr/>
          <w:p>
            <w:pPr>
              <w:pStyle w:val="Compact"/>
              <w:jc w:val="left"/>
            </w:pPr>
            <w:r>
              <w:t xml:space="preserve">O3</w:t>
            </w:r>
          </w:p>
        </w:tc>
        <w:tc>
          <w:tcPr/>
          <w:p>
            <w:pPr>
              <w:pStyle w:val="Compact"/>
              <w:jc w:val="left"/>
            </w:pPr>
            <w:r>
              <w:t xml:space="preserve">Evidence of every review and decision</w:t>
            </w:r>
          </w:p>
        </w:tc>
        <w:tc>
          <w:tcPr/>
          <w:p>
            <w:pPr>
              <w:pStyle w:val="Compact"/>
              <w:jc w:val="left"/>
            </w:pPr>
            <w:r>
              <w:t xml:space="preserve">Sign-offs, comments and an append-only audit trail that cannot be edited or deleted</w:t>
            </w:r>
          </w:p>
        </w:tc>
      </w:tr>
      <w:tr>
        <w:tc>
          <w:tcPr/>
          <w:p>
            <w:pPr>
              <w:pStyle w:val="Compact"/>
              <w:jc w:val="left"/>
            </w:pPr>
            <w:r>
              <w:t xml:space="preserve">O4</w:t>
            </w:r>
          </w:p>
        </w:tc>
        <w:tc>
          <w:tcPr/>
          <w:p>
            <w:pPr>
              <w:pStyle w:val="Compact"/>
              <w:jc w:val="left"/>
            </w:pPr>
            <w:r>
              <w:t xml:space="preserve">Agreed actions followed up to verified closure</w:t>
            </w:r>
          </w:p>
        </w:tc>
        <w:tc>
          <w:tcPr/>
          <w:p>
            <w:pPr>
              <w:pStyle w:val="Compact"/>
              <w:jc w:val="left"/>
            </w:pPr>
            <w:r>
              <w:t xml:space="preserve">Remediation &amp; Follow-up app with owners, target dates, evidence and auditor verification</w:t>
            </w:r>
          </w:p>
        </w:tc>
      </w:tr>
      <w:tr>
        <w:tc>
          <w:tcPr/>
          <w:p>
            <w:pPr>
              <w:pStyle w:val="Compact"/>
              <w:jc w:val="left"/>
            </w:pPr>
            <w:r>
              <w:t xml:space="preserve">O5</w:t>
            </w:r>
          </w:p>
        </w:tc>
        <w:tc>
          <w:tcPr/>
          <w:p>
            <w:pPr>
              <w:pStyle w:val="Compact"/>
              <w:jc w:val="left"/>
            </w:pPr>
            <w:r>
              <w:t xml:space="preserve">Consolidated reporting</w:t>
            </w:r>
          </w:p>
        </w:tc>
        <w:tc>
          <w:tcPr/>
          <w:p>
            <w:pPr>
              <w:pStyle w:val="Compact"/>
              <w:jc w:val="left"/>
            </w:pPr>
            <w:r>
              <w:t xml:space="preserve">Quarterly and annual reporting for HQ, Tema and Takoradi, the Audit Committee and the IAA</w:t>
            </w:r>
          </w:p>
        </w:tc>
      </w:tr>
      <w:tr>
        <w:tc>
          <w:tcPr/>
          <w:p>
            <w:pPr>
              <w:pStyle w:val="Compact"/>
              <w:jc w:val="left"/>
            </w:pPr>
            <w:r>
              <w:t xml:space="preserve">O6</w:t>
            </w:r>
          </w:p>
        </w:tc>
        <w:tc>
          <w:tcPr/>
          <w:p>
            <w:pPr>
              <w:pStyle w:val="Compact"/>
              <w:jc w:val="left"/>
            </w:pPr>
            <w:r>
              <w:t xml:space="preserve">Protect audit information</w:t>
            </w:r>
          </w:p>
        </w:tc>
        <w:tc>
          <w:tcPr/>
          <w:p>
            <w:pPr>
              <w:pStyle w:val="Compact"/>
              <w:jc w:val="left"/>
            </w:pPr>
            <w:r>
              <w:t xml:space="preserve">Role-based access, two-step verification, encryption of files and backups, HTTPS</w:t>
            </w:r>
          </w:p>
        </w:tc>
      </w:tr>
      <w:tr>
        <w:tc>
          <w:tcPr/>
          <w:p>
            <w:pPr>
              <w:pStyle w:val="Compact"/>
              <w:jc w:val="left"/>
            </w:pPr>
            <w:r>
              <w:t xml:space="preserve">O7</w:t>
            </w:r>
          </w:p>
        </w:tc>
        <w:tc>
          <w:tcPr/>
          <w:p>
            <w:pPr>
              <w:pStyle w:val="Compact"/>
              <w:jc w:val="left"/>
            </w:pPr>
            <w:r>
              <w:t xml:space="preserve">Hosted and owned by GPHA</w:t>
            </w:r>
          </w:p>
        </w:tc>
        <w:tc>
          <w:tcPr/>
          <w:p>
            <w:pPr>
              <w:pStyle w:val="Compact"/>
              <w:jc w:val="left"/>
            </w:pPr>
            <w:r>
              <w:t xml:space="preserve">Runs on a GPHA server; no cloud subscription; no data leaves GPHA</w:t>
            </w:r>
          </w:p>
        </w:tc>
      </w:tr>
    </w:tbl>
    <w:bookmarkEnd w:id="23"/>
    <w:bookmarkStart w:id="24" w:name="expected-benefits"/>
    <w:p>
      <w:pPr>
        <w:pStyle w:val="Heading2"/>
      </w:pPr>
      <w:r>
        <w:t xml:space="preserve">2.3 Expected benefits</w:t>
      </w:r>
    </w:p>
    <w:p>
      <w:pPr>
        <w:numPr>
          <w:ilvl w:val="0"/>
          <w:numId w:val="1004"/>
        </w:numPr>
        <w:pStyle w:val="Compact"/>
      </w:pPr>
      <w:r>
        <w:rPr>
          <w:bCs/>
          <w:b/>
        </w:rPr>
        <w:t xml:space="preserve">One source of truth</w:t>
      </w:r>
      <w:r>
        <w:t xml:space="preserve"> </w:t>
      </w:r>
      <w:r>
        <w:t xml:space="preserve">for the audit universe, plan, engagements, findings and actions at all three locations.</w:t>
      </w:r>
    </w:p>
    <w:p>
      <w:pPr>
        <w:numPr>
          <w:ilvl w:val="0"/>
          <w:numId w:val="1004"/>
        </w:numPr>
        <w:pStyle w:val="Compact"/>
      </w:pPr>
      <w:r>
        <w:rPr>
          <w:bCs/>
          <w:b/>
        </w:rPr>
        <w:t xml:space="preserve">Faster reviews and less paper</w:t>
      </w:r>
      <w:r>
        <w:t xml:space="preserve">: online working papers, review notes and sign-offs replace printed files moved between offices.</w:t>
      </w:r>
    </w:p>
    <w:p>
      <w:pPr>
        <w:numPr>
          <w:ilvl w:val="0"/>
          <w:numId w:val="1004"/>
        </w:numPr>
        <w:pStyle w:val="Compact"/>
      </w:pPr>
      <w:r>
        <w:rPr>
          <w:bCs/>
          <w:b/>
        </w:rPr>
        <w:t xml:space="preserve">Visible follow-up</w:t>
      </w:r>
      <w:r>
        <w:t xml:space="preserve">: overdue actions and recurring findings are flagged automatically and reported to management and the Audit Committee.</w:t>
      </w:r>
    </w:p>
    <w:p>
      <w:pPr>
        <w:numPr>
          <w:ilvl w:val="0"/>
          <w:numId w:val="1004"/>
        </w:numPr>
        <w:pStyle w:val="Compact"/>
      </w:pPr>
      <w:r>
        <w:rPr>
          <w:bCs/>
          <w:b/>
        </w:rPr>
        <w:t xml:space="preserve">Better assurance to stakeholders</w:t>
      </w:r>
      <w:r>
        <w:t xml:space="preserve"> </w:t>
      </w:r>
      <w:r>
        <w:t xml:space="preserve">(Audit Committee, Board, Ghana Audit Service, IAA, external auditors) through consistent reports and a full trail.</w:t>
      </w:r>
    </w:p>
    <w:p>
      <w:pPr>
        <w:numPr>
          <w:ilvl w:val="0"/>
          <w:numId w:val="1004"/>
        </w:numPr>
        <w:pStyle w:val="Compact"/>
      </w:pPr>
      <w:r>
        <w:rPr>
          <w:bCs/>
          <w:b/>
        </w:rPr>
        <w:t xml:space="preserve">Lower cost of ownership</w:t>
      </w:r>
      <w:r>
        <w:t xml:space="preserve">: open-source components, no licence fees for the software itself, hosted on GPHA infrastructure.</w:t>
      </w:r>
    </w:p>
    <w:p>
      <w:pPr>
        <w:numPr>
          <w:ilvl w:val="0"/>
          <w:numId w:val="1004"/>
        </w:numPr>
        <w:pStyle w:val="Compact"/>
      </w:pPr>
      <w:r>
        <w:rPr>
          <w:bCs/>
          <w:b/>
        </w:rPr>
        <w:t xml:space="preserve">Compliance support</w:t>
      </w:r>
      <w:r>
        <w:t xml:space="preserve"> </w:t>
      </w:r>
      <w:r>
        <w:t xml:space="preserve">for the Internal Audit Agency requirements, the IIA Standards (IPPF/QAIP) and the ISO 9001, 14001, 45001 and 27001 management systems.</w:t>
      </w:r>
    </w:p>
    <w:bookmarkEnd w:id="24"/>
    <w:bookmarkEnd w:id="25"/>
    <w:bookmarkStart w:id="28" w:name="scope"/>
    <w:p>
      <w:pPr>
        <w:pStyle w:val="Heading1"/>
      </w:pPr>
      <w:r>
        <w:t xml:space="preserve">3. Scope</w:t>
      </w:r>
    </w:p>
    <w:bookmarkStart w:id="26" w:name="in-scope"/>
    <w:p>
      <w:pPr>
        <w:pStyle w:val="Heading2"/>
      </w:pPr>
      <w:r>
        <w:t xml:space="preserve">3.1 In scope</w:t>
      </w:r>
    </w:p>
    <w:tbl>
      <w:tblPr>
        <w:tblStyle w:val="Table"/>
        <w:tblW w:type="pct" w:w="5000"/>
        <w:tblLook w:firstRow="1" w:lastRow="0" w:firstColumn="0" w:lastColumn="0" w:noHBand="0" w:noVBand="0" w:val="0020"/>
        <w:jc w:val="start"/>
      </w:tblPr>
      <w:tblGrid>
        <w:gridCol w:w="2436"/>
        <w:gridCol w:w="5483"/>
      </w:tblGrid>
      <w:tr>
        <w:trPr>
          <w:tblHeader w:val="true"/>
          <w:tblHeader w:val="true"/>
        </w:trPr>
        <w:tc>
          <w:tcPr>
            <w:shd w:val="clear" w:color="auto" w:fill="1E60AE"/>
          </w:tcPr>
          <w:p>
            <w:pPr>
              <w:pStyle w:val="Compact"/>
              <w:jc w:val="left"/>
            </w:pPr>
            <w:r>
              <w:rPr>
                <w:b/>
                <w:color w:val="FFFFFF"/>
              </w:rPr>
              <w:t xml:space="preserve">Area</w:t>
            </w:r>
          </w:p>
        </w:tc>
        <w:tc>
          <w:tcPr>
            <w:shd w:val="clear" w:color="auto" w:fill="1E60AE"/>
          </w:tcPr>
          <w:p>
            <w:pPr>
              <w:pStyle w:val="Compact"/>
              <w:jc w:val="left"/>
            </w:pPr>
            <w:r>
              <w:rPr>
                <w:b/>
                <w:color w:val="FFFFFF"/>
              </w:rPr>
              <w:t xml:space="preserve">Included</w:t>
            </w:r>
          </w:p>
        </w:tc>
      </w:tr>
      <w:tr>
        <w:tc>
          <w:tcPr/>
          <w:p>
            <w:pPr>
              <w:pStyle w:val="Compact"/>
              <w:jc w:val="left"/>
            </w:pPr>
            <w:r>
              <w:t xml:space="preserve">Locations</w:t>
            </w:r>
          </w:p>
        </w:tc>
        <w:tc>
          <w:tcPr/>
          <w:p>
            <w:pPr>
              <w:pStyle w:val="Compact"/>
              <w:jc w:val="left"/>
            </w:pPr>
            <w:r>
              <w:t xml:space="preserve">Headquarters, Tema Port, Takoradi Port (including the Fishing Harbour and Hospital units)</w:t>
            </w:r>
          </w:p>
        </w:tc>
      </w:tr>
      <w:tr>
        <w:tc>
          <w:tcPr/>
          <w:p>
            <w:pPr>
              <w:pStyle w:val="Compact"/>
              <w:jc w:val="left"/>
            </w:pPr>
            <w:r>
              <w:t xml:space="preserve">Audit streams</w:t>
            </w:r>
          </w:p>
        </w:tc>
        <w:tc>
          <w:tcPr/>
          <w:p>
            <w:pPr>
              <w:pStyle w:val="Compact"/>
              <w:jc w:val="left"/>
            </w:pPr>
            <w:r>
              <w:t xml:space="preserve">Expenditure, Revenue, Operations, Special Duties, IT Audit, and other assurance and advisory activities</w:t>
            </w:r>
          </w:p>
        </w:tc>
      </w:tr>
      <w:tr>
        <w:tc>
          <w:tcPr/>
          <w:p>
            <w:pPr>
              <w:pStyle w:val="Compact"/>
              <w:jc w:val="left"/>
            </w:pPr>
            <w:r>
              <w:t xml:space="preserve">Lifecycle</w:t>
            </w:r>
          </w:p>
        </w:tc>
        <w:tc>
          <w:tcPr/>
          <w:p>
            <w:pPr>
              <w:pStyle w:val="Compact"/>
              <w:jc w:val="left"/>
            </w:pPr>
            <w:r>
              <w:t xml:space="preserve">Audit universe, risk assessment, annual plan and Committee approval, resource allocation, engagement planning, fieldwork, working papers, evidence requests, findings, management responses, reporting, follow-up, Audit Committee reporting, quality assurance (QAIP), records and audit trail</w:t>
            </w:r>
          </w:p>
        </w:tc>
      </w:tr>
      <w:tr>
        <w:tc>
          <w:tcPr/>
          <w:p>
            <w:pPr>
              <w:pStyle w:val="Compact"/>
              <w:jc w:val="left"/>
            </w:pPr>
            <w:r>
              <w:t xml:space="preserve">Users</w:t>
            </w:r>
          </w:p>
        </w:tc>
        <w:tc>
          <w:tcPr/>
          <w:p>
            <w:pPr>
              <w:pStyle w:val="Compact"/>
              <w:jc w:val="left"/>
            </w:pPr>
            <w:r>
              <w:t xml:space="preserve">Internal Audit staff (all grades), audit clients (auditees) for their own requests and actions, and administrators</w:t>
            </w:r>
          </w:p>
        </w:tc>
      </w:tr>
      <w:tr>
        <w:tc>
          <w:tcPr/>
          <w:p>
            <w:pPr>
              <w:pStyle w:val="Compact"/>
              <w:jc w:val="left"/>
            </w:pPr>
            <w:r>
              <w:t xml:space="preserve">Supporting registers</w:t>
            </w:r>
          </w:p>
        </w:tc>
        <w:tc>
          <w:tcPr/>
          <w:p>
            <w:pPr>
              <w:pStyle w:val="Compact"/>
              <w:jc w:val="left"/>
            </w:pPr>
            <w:r>
              <w:t xml:space="preserve">Risk register, asset and third-party inventory, frameworks and compliance maps, policies, nonconformances, stakeholders</w:t>
            </w:r>
          </w:p>
        </w:tc>
      </w:tr>
      <w:tr>
        <w:tc>
          <w:tcPr/>
          <w:p>
            <w:pPr>
              <w:pStyle w:val="Compact"/>
              <w:jc w:val="left"/>
            </w:pPr>
            <w:r>
              <w:t xml:space="preserve">Outputs</w:t>
            </w:r>
          </w:p>
        </w:tc>
        <w:tc>
          <w:tcPr/>
          <w:p>
            <w:pPr>
              <w:pStyle w:val="Compact"/>
              <w:jc w:val="left"/>
            </w:pPr>
            <w:r>
              <w:t xml:space="preserve">Word reports and certificates, Excel registers, Committee packs, dashboards and KPIs</w:t>
            </w:r>
          </w:p>
        </w:tc>
      </w:tr>
    </w:tbl>
    <w:bookmarkEnd w:id="26"/>
    <w:bookmarkStart w:id="27" w:name="out-of-scope-for-this-phase"/>
    <w:p>
      <w:pPr>
        <w:pStyle w:val="Heading2"/>
      </w:pPr>
      <w:r>
        <w:t xml:space="preserve">3.2 Out of scope (for this phase)</w:t>
      </w:r>
    </w:p>
    <w:p>
      <w:pPr>
        <w:numPr>
          <w:ilvl w:val="0"/>
          <w:numId w:val="1005"/>
        </w:numPr>
        <w:pStyle w:val="Compact"/>
      </w:pPr>
      <w:r>
        <w:t xml:space="preserve">Replacing the ERP, the Terminal Operating System (TOS) or other operational systems. GIAW records evidence taken from them; it does not change them.</w:t>
      </w:r>
    </w:p>
    <w:p>
      <w:pPr>
        <w:numPr>
          <w:ilvl w:val="0"/>
          <w:numId w:val="1005"/>
        </w:numPr>
        <w:pStyle w:val="Compact"/>
      </w:pPr>
      <w:r>
        <w:t xml:space="preserve">Automatic live data feeds from ERP/TOS (possible later, decision D11).</w:t>
      </w:r>
    </w:p>
    <w:p>
      <w:pPr>
        <w:numPr>
          <w:ilvl w:val="0"/>
          <w:numId w:val="1005"/>
        </w:numPr>
        <w:pStyle w:val="Compact"/>
      </w:pPr>
      <w:r>
        <w:t xml:space="preserve">Full third-party risk management (vendor questionnaires and scoring); only a basic third-party register is included today (decision D15).</w:t>
      </w:r>
    </w:p>
    <w:p>
      <w:pPr>
        <w:numPr>
          <w:ilvl w:val="0"/>
          <w:numId w:val="1005"/>
        </w:numPr>
        <w:pStyle w:val="Compact"/>
      </w:pPr>
      <w:r>
        <w:t xml:space="preserve">Use of AI assistance. The feature exists but is</w:t>
      </w:r>
      <w:r>
        <w:t xml:space="preserve"> </w:t>
      </w:r>
      <w:r>
        <w:rPr>
          <w:bCs/>
          <w:b/>
        </w:rPr>
        <w:t xml:space="preserve">switched off</w:t>
      </w:r>
      <w:r>
        <w:t xml:space="preserve"> </w:t>
      </w:r>
      <w:r>
        <w:t xml:space="preserve">until GPHA approves it (decision D11).</w:t>
      </w:r>
    </w:p>
    <w:p>
      <w:pPr>
        <w:numPr>
          <w:ilvl w:val="0"/>
          <w:numId w:val="1005"/>
        </w:numPr>
        <w:pStyle w:val="Compact"/>
      </w:pPr>
      <w:r>
        <w:t xml:space="preserve">Migration of the complete historical archive. Only the current plan, open engagements and open findings are loaded (section 10.1).</w:t>
      </w:r>
    </w:p>
    <w:bookmarkEnd w:id="27"/>
    <w:bookmarkEnd w:id="28"/>
    <w:bookmarkStart w:id="35" w:name="X5395c41b3fe422d6680804a2f611252e296a326"/>
    <w:p>
      <w:pPr>
        <w:pStyle w:val="Heading1"/>
      </w:pPr>
      <w:r>
        <w:t xml:space="preserve">4. The current GPHA Internal Audit process (as is)</w:t>
      </w:r>
    </w:p>
    <w:bookmarkStart w:id="29" w:name="roles"/>
    <w:p>
      <w:pPr>
        <w:pStyle w:val="Heading2"/>
      </w:pPr>
      <w:r>
        <w:t xml:space="preserve">4.1 Roles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1E60AE"/>
          </w:tcPr>
          <w:p>
            <w:pPr>
              <w:pStyle w:val="Compact"/>
              <w:jc w:val="left"/>
            </w:pPr>
            <w:r>
              <w:rPr>
                <w:b/>
                <w:color w:val="FFFFFF"/>
              </w:rPr>
              <w:t xml:space="preserve">GPHA role</w:t>
            </w:r>
          </w:p>
        </w:tc>
        <w:tc>
          <w:tcPr>
            <w:shd w:val="clear" w:color="auto" w:fill="1E60AE"/>
          </w:tcPr>
          <w:p>
            <w:pPr>
              <w:pStyle w:val="Compact"/>
              <w:jc w:val="left"/>
            </w:pPr>
            <w:r>
              <w:rPr>
                <w:b/>
                <w:color w:val="FFFFFF"/>
              </w:rPr>
              <w:t xml:space="preserve">Responsibility in the process</w:t>
            </w:r>
          </w:p>
        </w:tc>
      </w:tr>
      <w:tr>
        <w:tc>
          <w:tcPr/>
          <w:p>
            <w:pPr>
              <w:pStyle w:val="Compact"/>
              <w:jc w:val="left"/>
            </w:pPr>
            <w:r>
              <w:t xml:space="preserve">GM Internal Audit (CAE)</w:t>
            </w:r>
          </w:p>
        </w:tc>
        <w:tc>
          <w:tcPr/>
          <w:p>
            <w:pPr>
              <w:pStyle w:val="Compact"/>
              <w:jc w:val="left"/>
            </w:pPr>
            <w:r>
              <w:t xml:space="preserve">Process owner; approves the plan and final reports; reports to the DG, Board and Audit Committee</w:t>
            </w:r>
          </w:p>
        </w:tc>
      </w:tr>
      <w:tr>
        <w:tc>
          <w:tcPr/>
          <w:p>
            <w:pPr>
              <w:pStyle w:val="Compact"/>
              <w:jc w:val="left"/>
            </w:pPr>
            <w:r>
              <w:t xml:space="preserve">Corporate / IT Audit Manager</w:t>
            </w:r>
          </w:p>
        </w:tc>
        <w:tc>
          <w:tcPr/>
          <w:p>
            <w:pPr>
              <w:pStyle w:val="Compact"/>
              <w:jc w:val="left"/>
            </w:pPr>
            <w:r>
              <w:t xml:space="preserve">Manages corporate and IT audit work; reviews reports</w:t>
            </w:r>
          </w:p>
        </w:tc>
      </w:tr>
      <w:tr>
        <w:tc>
          <w:tcPr/>
          <w:p>
            <w:pPr>
              <w:pStyle w:val="Compact"/>
              <w:jc w:val="left"/>
            </w:pPr>
            <w:r>
              <w:t xml:space="preserve">Principal Internal Auditor (PIA)</w:t>
            </w:r>
          </w:p>
        </w:tc>
        <w:tc>
          <w:tcPr/>
          <w:p>
            <w:pPr>
              <w:pStyle w:val="Compact"/>
              <w:jc w:val="left"/>
            </w:pPr>
            <w:r>
              <w:t xml:space="preserve">Deputy process owner; reviews reports and follow-up for each port</w:t>
            </w:r>
          </w:p>
        </w:tc>
      </w:tr>
      <w:tr>
        <w:tc>
          <w:tcPr/>
          <w:p>
            <w:pPr>
              <w:pStyle w:val="Compact"/>
              <w:jc w:val="left"/>
            </w:pPr>
            <w:r>
              <w:t xml:space="preserve">Audit Managers</w:t>
            </w:r>
          </w:p>
        </w:tc>
        <w:tc>
          <w:tcPr/>
          <w:p>
            <w:pPr>
              <w:pStyle w:val="Compact"/>
              <w:jc w:val="left"/>
            </w:pPr>
            <w:r>
              <w:t xml:space="preserve">Plan and supervise engagements; review working papers</w:t>
            </w:r>
          </w:p>
        </w:tc>
      </w:tr>
      <w:tr>
        <w:tc>
          <w:tcPr/>
          <w:p>
            <w:pPr>
              <w:pStyle w:val="Compact"/>
              <w:jc w:val="left"/>
            </w:pPr>
            <w:r>
              <w:t xml:space="preserve">Unit Heads / Supervisors</w:t>
            </w:r>
          </w:p>
        </w:tc>
        <w:tc>
          <w:tcPr/>
          <w:p>
            <w:pPr>
              <w:pStyle w:val="Compact"/>
              <w:jc w:val="left"/>
            </w:pPr>
            <w:r>
              <w:t xml:space="preserve">Lead unit audits; first-level review; discuss findings with management</w:t>
            </w:r>
          </w:p>
        </w:tc>
      </w:tr>
      <w:tr>
        <w:tc>
          <w:tcPr/>
          <w:p>
            <w:pPr>
              <w:pStyle w:val="Compact"/>
              <w:jc w:val="left"/>
            </w:pPr>
            <w:r>
              <w:t xml:space="preserve">Unit Auditors / Officers / Clerks</w:t>
            </w:r>
          </w:p>
        </w:tc>
        <w:tc>
          <w:tcPr/>
          <w:p>
            <w:pPr>
              <w:pStyle w:val="Compact"/>
              <w:jc w:val="left"/>
            </w:pPr>
            <w:r>
              <w:t xml:space="preserve">Perform fieldwork, prepare working papers and draft findings</w:t>
            </w:r>
          </w:p>
        </w:tc>
      </w:tr>
      <w:tr>
        <w:tc>
          <w:tcPr/>
          <w:p>
            <w:pPr>
              <w:pStyle w:val="Compact"/>
              <w:jc w:val="left"/>
            </w:pPr>
            <w:r>
              <w:t xml:space="preserve">Audit clients (management)</w:t>
            </w:r>
          </w:p>
        </w:tc>
        <w:tc>
          <w:tcPr/>
          <w:p>
            <w:pPr>
              <w:pStyle w:val="Compact"/>
              <w:jc w:val="left"/>
            </w:pPr>
            <w:r>
              <w:t xml:space="preserve">Provide information; respond to findings with action plans; implement actions</w:t>
            </w:r>
          </w:p>
        </w:tc>
      </w:tr>
      <w:tr>
        <w:tc>
          <w:tcPr/>
          <w:p>
            <w:pPr>
              <w:pStyle w:val="Compact"/>
              <w:jc w:val="left"/>
            </w:pPr>
            <w:r>
              <w:t xml:space="preserve">DG / Corporate Management, Board and Audit Committee</w:t>
            </w:r>
          </w:p>
        </w:tc>
        <w:tc>
          <w:tcPr/>
          <w:p>
            <w:pPr>
              <w:pStyle w:val="Compact"/>
              <w:jc w:val="left"/>
            </w:pPr>
            <w:r>
              <w:t xml:space="preserve">Receive reports; issue directives; monitor implementation</w:t>
            </w:r>
          </w:p>
        </w:tc>
      </w:tr>
    </w:tbl>
    <w:bookmarkEnd w:id="29"/>
    <w:bookmarkStart w:id="30" w:name="review-chain"/>
    <w:p>
      <w:pPr>
        <w:pStyle w:val="Heading2"/>
      </w:pPr>
      <w:r>
        <w:t xml:space="preserve">4.2 Review chain</w:t>
      </w:r>
    </w:p>
    <w:p>
      <w:pPr>
        <w:pStyle w:val="FirstParagraph"/>
      </w:pPr>
      <w:r>
        <w:rPr>
          <w:bCs/>
          <w:b/>
        </w:rPr>
        <w:t xml:space="preserve">Auditor / Clerk → Unit Head / Supervisor → Audit Manager → PIA → GM Audit → DG / Corporate Management → Audit Committee.</w:t>
      </w:r>
      <w:r>
        <w:t xml:space="preserve"> </w:t>
      </w:r>
      <w:r>
        <w:t xml:space="preserve">Follow-up runs from the Unit Head / PIA to the GM Audit, who monitors the implementation of Committee directives.</w:t>
      </w:r>
    </w:p>
    <w:bookmarkEnd w:id="30"/>
    <w:bookmarkStart w:id="31" w:name="X14a5db097f3f51ad8d2f757b2abfcf2e8e49c53"/>
    <w:p>
      <w:pPr>
        <w:pStyle w:val="Heading2"/>
      </w:pPr>
      <w:r>
        <w:t xml:space="preserve">4.3 Lifecycle elements in the existing procedure</w:t>
      </w:r>
    </w:p>
    <w:tbl>
      <w:tblPr>
        <w:tblStyle w:val="Table"/>
        <w:tblW w:type="pct" w:w="5000"/>
        <w:tblLook w:firstRow="1" w:lastRow="0" w:firstColumn="0" w:lastColumn="0" w:noHBand="0" w:noVBand="0" w:val="0020"/>
        <w:jc w:val="start"/>
      </w:tblPr>
      <w:tblGrid>
        <w:gridCol w:w="1131"/>
        <w:gridCol w:w="2160"/>
        <w:gridCol w:w="4628"/>
      </w:tblGrid>
      <w:tr>
        <w:trPr>
          <w:tblHeader w:val="true"/>
          <w:tblHeader w:val="true"/>
        </w:trPr>
        <w:tc>
          <w:tcPr>
            <w:shd w:val="clear" w:color="auto" w:fill="1E60AE"/>
          </w:tcPr>
          <w:p>
            <w:pPr>
              <w:pStyle w:val="Compact"/>
              <w:jc w:val="left"/>
            </w:pPr>
            <w:r>
              <w:rPr>
                <w:b/>
                <w:color w:val="FFFFFF"/>
              </w:rPr>
              <w:t xml:space="preserve">Ref</w:t>
            </w:r>
          </w:p>
        </w:tc>
        <w:tc>
          <w:tcPr>
            <w:shd w:val="clear" w:color="auto" w:fill="1E60AE"/>
          </w:tcPr>
          <w:p>
            <w:pPr>
              <w:pStyle w:val="Compact"/>
              <w:jc w:val="left"/>
            </w:pPr>
            <w:r>
              <w:rPr>
                <w:b/>
                <w:color w:val="FFFFFF"/>
              </w:rPr>
              <w:t xml:space="preserve">Element</w:t>
            </w:r>
          </w:p>
        </w:tc>
        <w:tc>
          <w:tcPr>
            <w:shd w:val="clear" w:color="auto" w:fill="1E60AE"/>
          </w:tcPr>
          <w:p>
            <w:pPr>
              <w:pStyle w:val="Compact"/>
              <w:jc w:val="left"/>
            </w:pPr>
            <w:r>
              <w:rPr>
                <w:b/>
                <w:color w:val="FFFFFF"/>
              </w:rPr>
              <w:t xml:space="preserve">Description</w:t>
            </w:r>
          </w:p>
        </w:tc>
      </w:tr>
      <w:tr>
        <w:tc>
          <w:tcPr/>
          <w:p>
            <w:pPr>
              <w:pStyle w:val="Compact"/>
              <w:jc w:val="left"/>
            </w:pPr>
            <w:r>
              <w:t xml:space="preserve">A</w:t>
            </w:r>
          </w:p>
        </w:tc>
        <w:tc>
          <w:tcPr/>
          <w:p>
            <w:pPr>
              <w:pStyle w:val="Compact"/>
              <w:jc w:val="left"/>
            </w:pPr>
            <w:r>
              <w:t xml:space="preserve">Annual plan</w:t>
            </w:r>
          </w:p>
        </w:tc>
        <w:tc>
          <w:tcPr/>
          <w:p>
            <w:pPr>
              <w:pStyle w:val="Compact"/>
              <w:jc w:val="left"/>
            </w:pPr>
            <w:r>
              <w:t xml:space="preserve">Risk-based annual audit plan, approved by the Audit Committee</w:t>
            </w:r>
          </w:p>
        </w:tc>
      </w:tr>
      <w:tr>
        <w:tc>
          <w:tcPr/>
          <w:p>
            <w:pPr>
              <w:pStyle w:val="Compact"/>
              <w:jc w:val="left"/>
            </w:pPr>
            <w:r>
              <w:t xml:space="preserve">B</w:t>
            </w:r>
          </w:p>
        </w:tc>
        <w:tc>
          <w:tcPr/>
          <w:p>
            <w:pPr>
              <w:pStyle w:val="Compact"/>
              <w:jc w:val="left"/>
            </w:pPr>
            <w:r>
              <w:t xml:space="preserve">Engagement planning</w:t>
            </w:r>
          </w:p>
        </w:tc>
        <w:tc>
          <w:tcPr/>
          <w:p>
            <w:pPr>
              <w:pStyle w:val="Compact"/>
              <w:jc w:val="left"/>
            </w:pPr>
            <w:r>
              <w:t xml:space="preserve">Planning memorandum, audit programme, risk assessment</w:t>
            </w:r>
          </w:p>
        </w:tc>
      </w:tr>
      <w:tr>
        <w:tc>
          <w:tcPr/>
          <w:p>
            <w:pPr>
              <w:pStyle w:val="Compact"/>
              <w:jc w:val="left"/>
            </w:pPr>
            <w:r>
              <w:t xml:space="preserve">C</w:t>
            </w:r>
          </w:p>
        </w:tc>
        <w:tc>
          <w:tcPr/>
          <w:p>
            <w:pPr>
              <w:pStyle w:val="Compact"/>
              <w:jc w:val="left"/>
            </w:pPr>
            <w:r>
              <w:t xml:space="preserve">Fieldwork</w:t>
            </w:r>
          </w:p>
        </w:tc>
        <w:tc>
          <w:tcPr/>
          <w:p>
            <w:pPr>
              <w:pStyle w:val="Compact"/>
              <w:jc w:val="left"/>
            </w:pPr>
            <w:r>
              <w:t xml:space="preserve">Interviews, walkthroughs, observation, data extraction, configuration review, reperformance</w:t>
            </w:r>
          </w:p>
        </w:tc>
      </w:tr>
      <w:tr>
        <w:tc>
          <w:tcPr/>
          <w:p>
            <w:pPr>
              <w:pStyle w:val="Compact"/>
              <w:jc w:val="left"/>
            </w:pPr>
            <w:r>
              <w:t xml:space="preserve">D</w:t>
            </w:r>
          </w:p>
        </w:tc>
        <w:tc>
          <w:tcPr/>
          <w:p>
            <w:pPr>
              <w:pStyle w:val="Compact"/>
              <w:jc w:val="left"/>
            </w:pPr>
            <w:r>
              <w:t xml:space="preserve">Document examination</w:t>
            </w:r>
          </w:p>
        </w:tc>
        <w:tc>
          <w:tcPr/>
          <w:p>
            <w:pPr>
              <w:pStyle w:val="Compact"/>
              <w:jc w:val="left"/>
            </w:pPr>
            <w:r>
              <w:t xml:space="preserve">Revenue, expenditure and IT documents and system records</w:t>
            </w:r>
          </w:p>
        </w:tc>
      </w:tr>
      <w:tr>
        <w:tc>
          <w:tcPr/>
          <w:p>
            <w:pPr>
              <w:pStyle w:val="Compact"/>
              <w:jc w:val="left"/>
            </w:pPr>
            <w:r>
              <w:t xml:space="preserve">E</w:t>
            </w:r>
          </w:p>
        </w:tc>
        <w:tc>
          <w:tcPr/>
          <w:p>
            <w:pPr>
              <w:pStyle w:val="Compact"/>
              <w:jc w:val="left"/>
            </w:pPr>
            <w:r>
              <w:t xml:space="preserve">Findings discussion</w:t>
            </w:r>
          </w:p>
        </w:tc>
        <w:tc>
          <w:tcPr/>
          <w:p>
            <w:pPr>
              <w:pStyle w:val="Compact"/>
              <w:jc w:val="left"/>
            </w:pPr>
            <w:r>
              <w:t xml:space="preserve">Findings discussed with the Unit Head</w:t>
            </w:r>
          </w:p>
        </w:tc>
      </w:tr>
      <w:tr>
        <w:tc>
          <w:tcPr/>
          <w:p>
            <w:pPr>
              <w:pStyle w:val="Compact"/>
              <w:jc w:val="left"/>
            </w:pPr>
            <w:r>
              <w:t xml:space="preserve">F</w:t>
            </w:r>
          </w:p>
        </w:tc>
        <w:tc>
          <w:tcPr/>
          <w:p>
            <w:pPr>
              <w:pStyle w:val="Compact"/>
              <w:jc w:val="left"/>
            </w:pPr>
            <w:r>
              <w:t xml:space="preserve">Responses</w:t>
            </w:r>
          </w:p>
        </w:tc>
        <w:tc>
          <w:tcPr/>
          <w:p>
            <w:pPr>
              <w:pStyle w:val="Compact"/>
              <w:jc w:val="left"/>
            </w:pPr>
            <w:r>
              <w:t xml:space="preserve">Audit client and management responses (action plan, responsible officer, target date), confirmed at the exit meeting</w:t>
            </w:r>
          </w:p>
        </w:tc>
      </w:tr>
      <w:tr>
        <w:tc>
          <w:tcPr/>
          <w:p>
            <w:pPr>
              <w:pStyle w:val="Compact"/>
              <w:jc w:val="left"/>
            </w:pPr>
            <w:r>
              <w:t xml:space="preserve">G</w:t>
            </w:r>
          </w:p>
        </w:tc>
        <w:tc>
          <w:tcPr/>
          <w:p>
            <w:pPr>
              <w:pStyle w:val="Compact"/>
              <w:jc w:val="left"/>
            </w:pPr>
            <w:r>
              <w:t xml:space="preserve">Review and escalation</w:t>
            </w:r>
          </w:p>
        </w:tc>
        <w:tc>
          <w:tcPr/>
          <w:p>
            <w:pPr>
              <w:pStyle w:val="Compact"/>
              <w:jc w:val="left"/>
            </w:pPr>
            <w:r>
              <w:t xml:space="preserve">Review up the chain; escalation of significant matters</w:t>
            </w:r>
          </w:p>
        </w:tc>
      </w:tr>
      <w:tr>
        <w:tc>
          <w:tcPr/>
          <w:p>
            <w:pPr>
              <w:pStyle w:val="Compact"/>
              <w:jc w:val="left"/>
            </w:pPr>
            <w:r>
              <w:t xml:space="preserve">H</w:t>
            </w:r>
          </w:p>
        </w:tc>
        <w:tc>
          <w:tcPr/>
          <w:p>
            <w:pPr>
              <w:pStyle w:val="Compact"/>
              <w:jc w:val="left"/>
            </w:pPr>
            <w:r>
              <w:t xml:space="preserve">Reporting</w:t>
            </w:r>
          </w:p>
        </w:tc>
        <w:tc>
          <w:tcPr/>
          <w:p>
            <w:pPr>
              <w:pStyle w:val="Compact"/>
              <w:jc w:val="left"/>
            </w:pPr>
            <w:r>
              <w:t xml:space="preserve">Engagement reports and quarterly reports</w:t>
            </w:r>
          </w:p>
        </w:tc>
      </w:tr>
      <w:tr>
        <w:tc>
          <w:tcPr/>
          <w:p>
            <w:pPr>
              <w:pStyle w:val="Compact"/>
              <w:jc w:val="left"/>
            </w:pPr>
            <w:r>
              <w:t xml:space="preserve">I</w:t>
            </w:r>
          </w:p>
        </w:tc>
        <w:tc>
          <w:tcPr/>
          <w:p>
            <w:pPr>
              <w:pStyle w:val="Compact"/>
              <w:jc w:val="left"/>
            </w:pPr>
            <w:r>
              <w:t xml:space="preserve">Follow-up</w:t>
            </w:r>
          </w:p>
        </w:tc>
        <w:tc>
          <w:tcPr/>
          <w:p>
            <w:pPr>
              <w:pStyle w:val="Compact"/>
              <w:jc w:val="left"/>
            </w:pPr>
            <w:r>
              <w:t xml:space="preserve">Confirm action implemented, evidence provided, risk reduced, then close</w:t>
            </w:r>
          </w:p>
        </w:tc>
      </w:tr>
    </w:tbl>
    <w:bookmarkEnd w:id="31"/>
    <w:bookmarkStart w:id="32" w:name="inputs-and-outputs"/>
    <w:p>
      <w:pPr>
        <w:pStyle w:val="Heading2"/>
      </w:pPr>
      <w:r>
        <w:t xml:space="preserve">4.4 Inputs and outputs</w:t>
      </w:r>
    </w:p>
    <w:p>
      <w:pPr>
        <w:numPr>
          <w:ilvl w:val="0"/>
          <w:numId w:val="1006"/>
        </w:numPr>
        <w:pStyle w:val="Compact"/>
      </w:pPr>
      <w:r>
        <w:rPr>
          <w:bCs/>
          <w:b/>
        </w:rPr>
        <w:t xml:space="preserve">Inputs (evidence):</w:t>
      </w:r>
      <w:r>
        <w:t xml:space="preserve"> </w:t>
      </w:r>
      <w:r>
        <w:t xml:space="preserve">petty cash, payment vouchers, bank statements, cash books, invoices, waybills, delivery orders, tallies, manifests, attendance books, payroll and shift premium records, pay-in slips, cheque registers, requisitions, asset registers, fuel coupons, value books, pilotage cards, and extracts from the ERP and TOS.</w:t>
      </w:r>
    </w:p>
    <w:p>
      <w:pPr>
        <w:numPr>
          <w:ilvl w:val="0"/>
          <w:numId w:val="1006"/>
        </w:numPr>
        <w:pStyle w:val="Compact"/>
      </w:pPr>
      <w:r>
        <w:rPr>
          <w:bCs/>
          <w:b/>
        </w:rPr>
        <w:t xml:space="preserve">Outputs:</w:t>
      </w:r>
      <w:r>
        <w:t xml:space="preserve"> </w:t>
      </w:r>
      <w:r>
        <w:t xml:space="preserve">audit reports, cash-count certificates, endorsed certificates, audited payroll and other registers, reviewed bank reconciliations, quarterly and annual reports.</w:t>
      </w:r>
    </w:p>
    <w:p>
      <w:pPr>
        <w:numPr>
          <w:ilvl w:val="0"/>
          <w:numId w:val="1006"/>
        </w:numPr>
        <w:pStyle w:val="Compact"/>
      </w:pPr>
      <w:r>
        <w:rPr>
          <w:bCs/>
          <w:b/>
        </w:rPr>
        <w:t xml:space="preserve">Working paper template:</w:t>
      </w:r>
      <w:r>
        <w:t xml:space="preserve"> </w:t>
      </w:r>
      <w:r>
        <w:t xml:space="preserve">14 sections.</w:t>
      </w:r>
      <w:r>
        <w:t xml:space="preserve"> </w:t>
      </w:r>
      <w:r>
        <w:rPr>
          <w:bCs/>
          <w:b/>
        </w:rPr>
        <w:t xml:space="preserve">Finding format:</w:t>
      </w:r>
      <w:r>
        <w:t xml:space="preserve"> </w:t>
      </w:r>
      <w:r>
        <w:t xml:space="preserve">Criteria → Condition → Cause → Effect → Recommendation, followed by the management response.</w:t>
      </w:r>
    </w:p>
    <w:bookmarkEnd w:id="32"/>
    <w:bookmarkStart w:id="33" w:name="audit-streams"/>
    <w:p>
      <w:pPr>
        <w:pStyle w:val="Heading2"/>
      </w:pPr>
      <w:r>
        <w:t xml:space="preserve">4.5 Audit streams</w:t>
      </w:r>
    </w:p>
    <w:tbl>
      <w:tblPr>
        <w:tblStyle w:val="Table"/>
        <w:tblW w:type="pct" w:w="5000"/>
        <w:tblLook w:firstRow="1" w:lastRow="0" w:firstColumn="0" w:lastColumn="0" w:noHBand="0" w:noVBand="0" w:val="0020"/>
        <w:jc w:val="start"/>
      </w:tblPr>
      <w:tblGrid>
        <w:gridCol w:w="1879"/>
        <w:gridCol w:w="6040"/>
      </w:tblGrid>
      <w:tr>
        <w:trPr>
          <w:tblHeader w:val="true"/>
          <w:tblHeader w:val="true"/>
        </w:trPr>
        <w:tc>
          <w:tcPr>
            <w:shd w:val="clear" w:color="auto" w:fill="1E60AE"/>
          </w:tcPr>
          <w:p>
            <w:pPr>
              <w:pStyle w:val="Compact"/>
              <w:jc w:val="left"/>
            </w:pPr>
            <w:r>
              <w:rPr>
                <w:b/>
                <w:color w:val="FFFFFF"/>
              </w:rPr>
              <w:t xml:space="preserve">Stream</w:t>
            </w:r>
          </w:p>
        </w:tc>
        <w:tc>
          <w:tcPr>
            <w:shd w:val="clear" w:color="auto" w:fill="1E60AE"/>
          </w:tcPr>
          <w:p>
            <w:pPr>
              <w:pStyle w:val="Compact"/>
              <w:jc w:val="left"/>
            </w:pPr>
            <w:r>
              <w:rPr>
                <w:b/>
                <w:color w:val="FFFFFF"/>
              </w:rPr>
              <w:t xml:space="preserve">Typical coverage</w:t>
            </w:r>
          </w:p>
        </w:tc>
      </w:tr>
      <w:tr>
        <w:tc>
          <w:tcPr/>
          <w:p>
            <w:pPr>
              <w:pStyle w:val="Compact"/>
              <w:jc w:val="left"/>
            </w:pPr>
            <w:r>
              <w:t xml:space="preserve">Expenditure</w:t>
            </w:r>
          </w:p>
        </w:tc>
        <w:tc>
          <w:tcPr/>
          <w:p>
            <w:pPr>
              <w:pStyle w:val="Compact"/>
              <w:jc w:val="left"/>
            </w:pPr>
            <w:r>
              <w:t xml:space="preserve">Payment vouchers, cash counts, bank reconciliations, payroll, staff debtors, procurement, contracts, imprest, statutory payments, creditors, loans</w:t>
            </w:r>
          </w:p>
        </w:tc>
      </w:tr>
      <w:tr>
        <w:tc>
          <w:tcPr/>
          <w:p>
            <w:pPr>
              <w:pStyle w:val="Compact"/>
              <w:jc w:val="left"/>
            </w:pPr>
            <w:r>
              <w:t xml:space="preserve">Revenue</w:t>
            </w:r>
          </w:p>
        </w:tc>
        <w:tc>
          <w:tcPr/>
          <w:p>
            <w:pPr>
              <w:pStyle w:val="Compact"/>
              <w:jc w:val="left"/>
            </w:pPr>
            <w:r>
              <w:t xml:space="preserve">Daily takings, hospital, tolls, marine, cargo, rents, utilities, licences, Fishing Harbour, investment income, oil and gas</w:t>
            </w:r>
          </w:p>
        </w:tc>
      </w:tr>
      <w:tr>
        <w:tc>
          <w:tcPr/>
          <w:p>
            <w:pPr>
              <w:pStyle w:val="Compact"/>
              <w:jc w:val="left"/>
            </w:pPr>
            <w:r>
              <w:t xml:space="preserve">Operations</w:t>
            </w:r>
          </w:p>
        </w:tc>
        <w:tc>
          <w:tcPr/>
          <w:p>
            <w:pPr>
              <w:pStyle w:val="Compact"/>
              <w:jc w:val="left"/>
            </w:pPr>
            <w:r>
              <w:t xml:space="preserve">Cargo positioning, service-to-billing, safety, unclaimed cargo</w:t>
            </w:r>
          </w:p>
        </w:tc>
      </w:tr>
      <w:tr>
        <w:tc>
          <w:tcPr/>
          <w:p>
            <w:pPr>
              <w:pStyle w:val="Compact"/>
              <w:jc w:val="left"/>
            </w:pPr>
            <w:r>
              <w:t xml:space="preserve">Special Duties</w:t>
            </w:r>
          </w:p>
        </w:tc>
        <w:tc>
          <w:tcPr/>
          <w:p>
            <w:pPr>
              <w:pStyle w:val="Compact"/>
              <w:jc w:val="left"/>
            </w:pPr>
            <w:r>
              <w:t xml:space="preserve">Bid opening, vehicles, value books, PPE, fuel, stores, contracts, EHS, quality assurance, system audit</w:t>
            </w:r>
          </w:p>
        </w:tc>
      </w:tr>
      <w:tr>
        <w:tc>
          <w:tcPr/>
          <w:p>
            <w:pPr>
              <w:pStyle w:val="Compact"/>
              <w:jc w:val="left"/>
            </w:pPr>
            <w:r>
              <w:t xml:space="preserve">IT Audit</w:t>
            </w:r>
          </w:p>
        </w:tc>
        <w:tc>
          <w:tcPr/>
          <w:p>
            <w:pPr>
              <w:pStyle w:val="Compact"/>
              <w:jc w:val="left"/>
            </w:pPr>
            <w:r>
              <w:t xml:space="preserve">Networks, access management, suppliers, incidents, continuity, backup, logging, vulnerabilities, follow-up</w:t>
            </w:r>
          </w:p>
        </w:tc>
      </w:tr>
    </w:tbl>
    <w:bookmarkEnd w:id="33"/>
    <w:bookmarkStart w:id="34" w:name="gaps-identified-in-the-current-process"/>
    <w:p>
      <w:pPr>
        <w:pStyle w:val="Heading2"/>
      </w:pPr>
      <w:r>
        <w:t xml:space="preserve">4.6 Gaps identified in the current process</w:t>
      </w:r>
    </w:p>
    <w:tbl>
      <w:tblPr>
        <w:tblStyle w:val="Table"/>
        <w:tblW w:type="pct" w:w="5000"/>
        <w:tblLook w:firstRow="1" w:lastRow="0" w:firstColumn="0" w:lastColumn="0" w:noHBand="0" w:noVBand="0" w:val="0020"/>
        <w:jc w:val="start"/>
      </w:tblPr>
      <w:tblGrid>
        <w:gridCol w:w="862"/>
        <w:gridCol w:w="3528"/>
        <w:gridCol w:w="3528"/>
      </w:tblGrid>
      <w:tr>
        <w:trPr>
          <w:tblHeader w:val="true"/>
          <w:tblHeader w:val="true"/>
        </w:trPr>
        <w:tc>
          <w:tcPr>
            <w:shd w:val="clear" w:color="auto" w:fill="1E60AE"/>
          </w:tcPr>
          <w:p>
            <w:pPr>
              <w:pStyle w:val="Compact"/>
              <w:jc w:val="left"/>
            </w:pPr>
            <w:r>
              <w:rPr>
                <w:b/>
                <w:color w:val="FFFFFF"/>
              </w:rPr>
              <w:t xml:space="preserve">#</w:t>
            </w:r>
          </w:p>
        </w:tc>
        <w:tc>
          <w:tcPr>
            <w:shd w:val="clear" w:color="auto" w:fill="1E60AE"/>
          </w:tcPr>
          <w:p>
            <w:pPr>
              <w:pStyle w:val="Compact"/>
              <w:jc w:val="left"/>
            </w:pPr>
            <w:r>
              <w:rPr>
                <w:b/>
                <w:color w:val="FFFFFF"/>
              </w:rPr>
              <w:t xml:space="preserve">Gap</w:t>
            </w:r>
          </w:p>
        </w:tc>
        <w:tc>
          <w:tcPr>
            <w:shd w:val="clear" w:color="auto" w:fill="1E60AE"/>
          </w:tcPr>
          <w:p>
            <w:pPr>
              <w:pStyle w:val="Compact"/>
              <w:jc w:val="left"/>
            </w:pPr>
            <w:r>
              <w:rPr>
                <w:b/>
                <w:color w:val="FFFFFF"/>
              </w:rPr>
              <w:t xml:space="preserve">Effect today</w:t>
            </w:r>
          </w:p>
        </w:tc>
      </w:tr>
      <w:tr>
        <w:tc>
          <w:tcPr/>
          <w:p>
            <w:pPr>
              <w:pStyle w:val="Compact"/>
              <w:jc w:val="left"/>
            </w:pPr>
            <w:r>
              <w:t xml:space="preserve">G1</w:t>
            </w:r>
          </w:p>
        </w:tc>
        <w:tc>
          <w:tcPr/>
          <w:p>
            <w:pPr>
              <w:pStyle w:val="Compact"/>
              <w:jc w:val="left"/>
            </w:pPr>
            <w:r>
              <w:t xml:space="preserve">No complete audit universe governance method</w:t>
            </w:r>
          </w:p>
        </w:tc>
        <w:tc>
          <w:tcPr/>
          <w:p>
            <w:pPr>
              <w:pStyle w:val="Compact"/>
              <w:jc w:val="left"/>
            </w:pPr>
            <w:r>
              <w:t xml:space="preserve">Coverage of auditable areas cannot be demonstrated</w:t>
            </w:r>
          </w:p>
        </w:tc>
      </w:tr>
      <w:tr>
        <w:tc>
          <w:tcPr/>
          <w:p>
            <w:pPr>
              <w:pStyle w:val="Compact"/>
              <w:jc w:val="left"/>
            </w:pPr>
            <w:r>
              <w:t xml:space="preserve">G2</w:t>
            </w:r>
          </w:p>
        </w:tc>
        <w:tc>
          <w:tcPr/>
          <w:p>
            <w:pPr>
              <w:pStyle w:val="Compact"/>
              <w:jc w:val="left"/>
            </w:pPr>
            <w:r>
              <w:t xml:space="preserve">Separate unit procedures rather than one common lifecycle</w:t>
            </w:r>
          </w:p>
        </w:tc>
        <w:tc>
          <w:tcPr/>
          <w:p>
            <w:pPr>
              <w:pStyle w:val="Compact"/>
              <w:jc w:val="left"/>
            </w:pPr>
            <w:r>
              <w:t xml:space="preserve">Inconsistent files, formats and reports across units and ports</w:t>
            </w:r>
          </w:p>
        </w:tc>
      </w:tr>
      <w:tr>
        <w:tc>
          <w:tcPr/>
          <w:p>
            <w:pPr>
              <w:pStyle w:val="Compact"/>
              <w:jc w:val="left"/>
            </w:pPr>
            <w:r>
              <w:t xml:space="preserve">G3</w:t>
            </w:r>
          </w:p>
        </w:tc>
        <w:tc>
          <w:tcPr/>
          <w:p>
            <w:pPr>
              <w:pStyle w:val="Compact"/>
              <w:jc w:val="left"/>
            </w:pPr>
            <w:r>
              <w:t xml:space="preserve">Risk assessment method not formalised</w:t>
            </w:r>
          </w:p>
        </w:tc>
        <w:tc>
          <w:tcPr/>
          <w:p>
            <w:pPr>
              <w:pStyle w:val="Compact"/>
              <w:jc w:val="left"/>
            </w:pPr>
            <w:r>
              <w:t xml:space="preserve">Plan priorities hard to justify to the Committee</w:t>
            </w:r>
          </w:p>
        </w:tc>
      </w:tr>
      <w:tr>
        <w:tc>
          <w:tcPr/>
          <w:p>
            <w:pPr>
              <w:pStyle w:val="Compact"/>
              <w:jc w:val="left"/>
            </w:pPr>
            <w:r>
              <w:t xml:space="preserve">G4</w:t>
            </w:r>
          </w:p>
        </w:tc>
        <w:tc>
          <w:tcPr/>
          <w:p>
            <w:pPr>
              <w:pStyle w:val="Compact"/>
              <w:jc w:val="left"/>
            </w:pPr>
            <w:r>
              <w:t xml:space="preserve">Exit meeting not consistently recorded</w:t>
            </w:r>
          </w:p>
        </w:tc>
        <w:tc>
          <w:tcPr/>
          <w:p>
            <w:pPr>
              <w:pStyle w:val="Compact"/>
              <w:jc w:val="left"/>
            </w:pPr>
            <w:r>
              <w:t xml:space="preserve">Disputes about agreed findings and dates</w:t>
            </w:r>
          </w:p>
        </w:tc>
      </w:tr>
      <w:tr>
        <w:tc>
          <w:tcPr/>
          <w:p>
            <w:pPr>
              <w:pStyle w:val="Compact"/>
              <w:jc w:val="left"/>
            </w:pPr>
            <w:r>
              <w:t xml:space="preserve">G5</w:t>
            </w:r>
          </w:p>
        </w:tc>
        <w:tc>
          <w:tcPr/>
          <w:p>
            <w:pPr>
              <w:pStyle w:val="Compact"/>
              <w:jc w:val="left"/>
            </w:pPr>
            <w:r>
              <w:t xml:space="preserve">Weak follow-up governance</w:t>
            </w:r>
          </w:p>
        </w:tc>
        <w:tc>
          <w:tcPr/>
          <w:p>
            <w:pPr>
              <w:pStyle w:val="Compact"/>
              <w:jc w:val="left"/>
            </w:pPr>
            <w:r>
              <w:t xml:space="preserve">Overdue and recurring findings not escalated in time</w:t>
            </w:r>
          </w:p>
        </w:tc>
      </w:tr>
      <w:tr>
        <w:tc>
          <w:tcPr/>
          <w:p>
            <w:pPr>
              <w:pStyle w:val="Compact"/>
              <w:jc w:val="left"/>
            </w:pPr>
            <w:r>
              <w:t xml:space="preserve">G6</w:t>
            </w:r>
          </w:p>
        </w:tc>
        <w:tc>
          <w:tcPr/>
          <w:p>
            <w:pPr>
              <w:pStyle w:val="Compact"/>
              <w:jc w:val="left"/>
            </w:pPr>
            <w:r>
              <w:t xml:space="preserve">Evidence held in paper and personal folders</w:t>
            </w:r>
          </w:p>
        </w:tc>
        <w:tc>
          <w:tcPr/>
          <w:p>
            <w:pPr>
              <w:pStyle w:val="Compact"/>
              <w:jc w:val="left"/>
            </w:pPr>
            <w:r>
              <w:t xml:space="preserve">Risk of loss, forgery and missing support</w:t>
            </w:r>
          </w:p>
        </w:tc>
      </w:tr>
      <w:tr>
        <w:tc>
          <w:tcPr/>
          <w:p>
            <w:pPr>
              <w:pStyle w:val="Compact"/>
              <w:jc w:val="left"/>
            </w:pPr>
            <w:r>
              <w:t xml:space="preserve">G7</w:t>
            </w:r>
          </w:p>
        </w:tc>
        <w:tc>
          <w:tcPr/>
          <w:p>
            <w:pPr>
              <w:pStyle w:val="Compact"/>
              <w:jc w:val="left"/>
            </w:pPr>
            <w:r>
              <w:t xml:space="preserve">No feedback loop</w:t>
            </w:r>
          </w:p>
        </w:tc>
        <w:tc>
          <w:tcPr/>
          <w:p>
            <w:pPr>
              <w:pStyle w:val="Compact"/>
              <w:jc w:val="left"/>
            </w:pPr>
            <w:r>
              <w:t xml:space="preserve">Results do not feed the next risk assessment and plan</w:t>
            </w:r>
          </w:p>
        </w:tc>
      </w:tr>
    </w:tbl>
    <w:p>
      <w:pPr>
        <w:pStyle w:val="BodyText"/>
      </w:pPr>
      <w:r>
        <w:t xml:space="preserve">Key department risks noted in the overview are slow management responses, forged value books, omissions and inaccurate data, data loss, recurring findings, control failures by heads of department, missed discrepancies and threats to staff. GIAW addresses those that a system can address (sections 6 and 7).</w:t>
      </w:r>
    </w:p>
    <w:bookmarkEnd w:id="34"/>
    <w:bookmarkEnd w:id="35"/>
    <w:bookmarkStart w:id="39" w:name="the-target-process-in-giaw-to-be"/>
    <w:p>
      <w:pPr>
        <w:pStyle w:val="Heading1"/>
      </w:pPr>
      <w:r>
        <w:t xml:space="preserve">5. The target process in GIAW (to be)</w:t>
      </w:r>
    </w:p>
    <w:p>
      <w:pPr>
        <w:pStyle w:val="FirstParagraph"/>
      </w:pPr>
      <w:r>
        <w:t xml:space="preserve">GIAW implements one common, 32-step lifecycle for every unit and location, as recommended in the overview document:</w:t>
      </w:r>
    </w:p>
    <w:tbl>
      <w:tblPr>
        <w:tblStyle w:val="Table"/>
        <w:tblW w:type="pct" w:w="5000"/>
        <w:tblLook w:firstRow="1" w:lastRow="0" w:firstColumn="0" w:lastColumn="0" w:noHBand="0" w:noVBand="0" w:val="0020"/>
        <w:jc w:val="start"/>
      </w:tblPr>
      <w:tblGrid>
        <w:gridCol w:w="2678"/>
        <w:gridCol w:w="5241"/>
      </w:tblGrid>
      <w:tr>
        <w:trPr>
          <w:tblHeader w:val="true"/>
          <w:tblHeader w:val="true"/>
        </w:trPr>
        <w:tc>
          <w:tcPr>
            <w:shd w:val="clear" w:color="auto" w:fill="1E60AE"/>
          </w:tcPr>
          <w:p>
            <w:pPr>
              <w:pStyle w:val="Compact"/>
              <w:jc w:val="left"/>
            </w:pPr>
            <w:r>
              <w:rPr>
                <w:b/>
                <w:color w:val="FFFFFF"/>
              </w:rPr>
              <w:t xml:space="preserve">Stage</w:t>
            </w:r>
          </w:p>
        </w:tc>
        <w:tc>
          <w:tcPr>
            <w:shd w:val="clear" w:color="auto" w:fill="1E60AE"/>
          </w:tcPr>
          <w:p>
            <w:pPr>
              <w:pStyle w:val="Compact"/>
              <w:jc w:val="left"/>
            </w:pPr>
            <w:r>
              <w:rPr>
                <w:b/>
                <w:color w:val="FFFFFF"/>
              </w:rPr>
              <w:t xml:space="preserve">Steps</w:t>
            </w:r>
          </w:p>
        </w:tc>
      </w:tr>
      <w:tr>
        <w:tc>
          <w:tcPr/>
          <w:p>
            <w:pPr>
              <w:pStyle w:val="Compact"/>
              <w:jc w:val="left"/>
            </w:pPr>
            <w:r>
              <w:t xml:space="preserve">Governance and planning</w:t>
            </w:r>
          </w:p>
        </w:tc>
        <w:tc>
          <w:tcPr/>
          <w:p>
            <w:pPr>
              <w:pStyle w:val="Compact"/>
              <w:jc w:val="left"/>
            </w:pPr>
            <w:r>
              <w:t xml:space="preserve">1 Audit universe · 2 Enterprise audit risk assessment · 3 Annual assurance plan · 4 Audit Committee approval · 5 Allocation to HQ / Tema / Takoradi</w:t>
            </w:r>
          </w:p>
        </w:tc>
      </w:tr>
      <w:tr>
        <w:tc>
          <w:tcPr/>
          <w:p>
            <w:pPr>
              <w:pStyle w:val="Compact"/>
              <w:jc w:val="left"/>
            </w:pPr>
            <w:r>
              <w:t xml:space="preserve">Engagement set-up</w:t>
            </w:r>
          </w:p>
        </w:tc>
        <w:tc>
          <w:tcPr/>
          <w:p>
            <w:pPr>
              <w:pStyle w:val="Compact"/>
              <w:jc w:val="left"/>
            </w:pPr>
            <w:r>
              <w:t xml:space="preserve">6 Engagement assignment · 7 Independence and resource check · 8 Preliminary survey · 9 Risk and control assessment · 10 Planning memorandum / terms of reference · 11 Audit programme</w:t>
            </w:r>
          </w:p>
        </w:tc>
      </w:tr>
      <w:tr>
        <w:tc>
          <w:tcPr/>
          <w:p>
            <w:pPr>
              <w:pStyle w:val="Compact"/>
              <w:jc w:val="left"/>
            </w:pPr>
            <w:r>
              <w:t xml:space="preserve">Fieldwork</w:t>
            </w:r>
          </w:p>
        </w:tc>
        <w:tc>
          <w:tcPr/>
          <w:p>
            <w:pPr>
              <w:pStyle w:val="Compact"/>
              <w:jc w:val="left"/>
            </w:pPr>
            <w:r>
              <w:t xml:space="preserve">12 Information (PBC) requests · 13 Fieldwork · 14 Sampling and testing · 15 Working papers · 16 Evidence · 17 Exceptions and potential findings · 18 Supervisor review · 19 Findings validation</w:t>
            </w:r>
          </w:p>
        </w:tc>
      </w:tr>
      <w:tr>
        <w:tc>
          <w:tcPr/>
          <w:p>
            <w:pPr>
              <w:pStyle w:val="Compact"/>
              <w:jc w:val="left"/>
            </w:pPr>
            <w:r>
              <w:t xml:space="preserve">Agreement and reporting</w:t>
            </w:r>
          </w:p>
        </w:tc>
        <w:tc>
          <w:tcPr/>
          <w:p>
            <w:pPr>
              <w:pStyle w:val="Compact"/>
              <w:jc w:val="left"/>
            </w:pPr>
            <w:r>
              <w:t xml:space="preserve">20 Exit meeting · 21 Management response and action plan · 22 Draft report · 23 Audit Manager / PIA review · 24 GM Audit review · 25 Final report · 26 DG / Corporate Management · 27 Audit Committee</w:t>
            </w:r>
          </w:p>
        </w:tc>
      </w:tr>
      <w:tr>
        <w:tc>
          <w:tcPr/>
          <w:p>
            <w:pPr>
              <w:pStyle w:val="Compact"/>
              <w:jc w:val="left"/>
            </w:pPr>
            <w:r>
              <w:t xml:space="preserve">Follow-up and learning</w:t>
            </w:r>
          </w:p>
        </w:tc>
        <w:tc>
          <w:tcPr/>
          <w:p>
            <w:pPr>
              <w:pStyle w:val="Compact"/>
              <w:jc w:val="left"/>
            </w:pPr>
            <w:r>
              <w:t xml:space="preserve">28 Action tracking · 29 Follow-up testing · 30 Closure, reopening or escalation · 31 Quarterly and annual consolidation · 32 Results feed the next risk assessment</w:t>
            </w:r>
          </w:p>
        </w:tc>
      </w:tr>
    </w:tbl>
    <w:p>
      <w:pPr>
        <w:pStyle w:val="CaptionedFigure"/>
      </w:pPr>
      <w:r>
        <w:drawing>
          <wp:inline>
            <wp:extent cx="5067300" cy="344806"/>
            <wp:effectExtent b="0" l="0" r="0" t="0"/>
            <wp:docPr descr="GIAW audit lifecycle" title="" id="37" name="Picture"/>
            <a:graphic>
              <a:graphicData uri="http://schemas.openxmlformats.org/drawingml/2006/picture">
                <pic:pic>
                  <pic:nvPicPr>
                    <pic:cNvPr descr="images/diagram-lifecycle.png" id="38" name="Picture"/>
                    <pic:cNvPicPr>
                      <a:picLocks noChangeArrowheads="1" noChangeAspect="1"/>
                    </pic:cNvPicPr>
                  </pic:nvPicPr>
                  <pic:blipFill>
                    <a:blip r:embed="rId36"/>
                    <a:stretch>
                      <a:fillRect/>
                    </a:stretch>
                  </pic:blipFill>
                  <pic:spPr bwMode="auto">
                    <a:xfrm>
                      <a:off x="0" y="0"/>
                      <a:ext cx="5067300" cy="344806"/>
                    </a:xfrm>
                    <a:prstGeom prst="rect">
                      <a:avLst/>
                    </a:prstGeom>
                    <a:noFill/>
                    <a:ln w="9525">
                      <a:noFill/>
                      <a:headEnd/>
                      <a:tailEnd/>
                    </a:ln>
                  </pic:spPr>
                </pic:pic>
              </a:graphicData>
            </a:graphic>
          </wp:inline>
        </w:drawing>
      </w:r>
    </w:p>
    <w:p>
      <w:pPr>
        <w:pStyle w:val="ImageCaption"/>
      </w:pPr>
      <w:r>
        <w:t xml:space="preserve">GIAW audit lifecycle</w:t>
      </w:r>
    </w:p>
    <w:p>
      <w:pPr>
        <w:pStyle w:val="BodyText"/>
      </w:pPr>
      <w:r>
        <w:rPr>
          <w:bCs/>
          <w:b/>
        </w:rPr>
        <w:t xml:space="preserve">Status flows built into the system</w:t>
      </w:r>
    </w:p>
    <w:tbl>
      <w:tblPr>
        <w:tblStyle w:val="Table"/>
        <w:tblW w:type="pct" w:w="5000"/>
        <w:tblLook w:firstRow="1" w:lastRow="0" w:firstColumn="0" w:lastColumn="0" w:noHBand="0" w:noVBand="0" w:val="0020"/>
        <w:jc w:val="start"/>
      </w:tblPr>
      <w:tblGrid>
        <w:gridCol w:w="2262"/>
        <w:gridCol w:w="5657"/>
      </w:tblGrid>
      <w:tr>
        <w:trPr>
          <w:tblHeader w:val="true"/>
          <w:tblHeader w:val="true"/>
        </w:trPr>
        <w:tc>
          <w:tcPr>
            <w:shd w:val="clear" w:color="auto" w:fill="1E60AE"/>
          </w:tcPr>
          <w:p>
            <w:pPr>
              <w:pStyle w:val="Compact"/>
              <w:jc w:val="left"/>
            </w:pPr>
            <w:r>
              <w:rPr>
                <w:b/>
                <w:color w:val="FFFFFF"/>
              </w:rPr>
              <w:t xml:space="preserve">Record</w:t>
            </w:r>
          </w:p>
        </w:tc>
        <w:tc>
          <w:tcPr>
            <w:shd w:val="clear" w:color="auto" w:fill="1E60AE"/>
          </w:tcPr>
          <w:p>
            <w:pPr>
              <w:pStyle w:val="Compact"/>
              <w:jc w:val="left"/>
            </w:pPr>
            <w:r>
              <w:rPr>
                <w:b/>
                <w:color w:val="FFFFFF"/>
              </w:rPr>
              <w:t xml:space="preserve">Status flow</w:t>
            </w:r>
          </w:p>
        </w:tc>
      </w:tr>
      <w:tr>
        <w:tc>
          <w:tcPr/>
          <w:p>
            <w:pPr>
              <w:pStyle w:val="Compact"/>
              <w:jc w:val="left"/>
            </w:pPr>
            <w:r>
              <w:t xml:space="preserve">Annual plan</w:t>
            </w:r>
          </w:p>
        </w:tc>
        <w:tc>
          <w:tcPr/>
          <w:p>
            <w:pPr>
              <w:pStyle w:val="Compact"/>
              <w:jc w:val="left"/>
            </w:pPr>
            <w:r>
              <w:t xml:space="preserve">Ten states from Draft through review, Audit Committee approval and distribution to Closed</w:t>
            </w:r>
          </w:p>
        </w:tc>
      </w:tr>
      <w:tr>
        <w:tc>
          <w:tcPr/>
          <w:p>
            <w:pPr>
              <w:pStyle w:val="Compact"/>
              <w:jc w:val="left"/>
            </w:pPr>
            <w:r>
              <w:t xml:space="preserve">Audit (engagement)</w:t>
            </w:r>
          </w:p>
        </w:tc>
        <w:tc>
          <w:tcPr/>
          <w:p>
            <w:pPr>
              <w:pStyle w:val="Compact"/>
              <w:jc w:val="left"/>
            </w:pPr>
            <w:r>
              <w:t xml:space="preserve">Planned → In Progress → Review → Closed</w:t>
            </w:r>
          </w:p>
        </w:tc>
      </w:tr>
      <w:tr>
        <w:tc>
          <w:tcPr/>
          <w:p>
            <w:pPr>
              <w:pStyle w:val="Compact"/>
              <w:jc w:val="left"/>
            </w:pPr>
            <w:r>
              <w:t xml:space="preserve">Audit report</w:t>
            </w:r>
          </w:p>
        </w:tc>
        <w:tc>
          <w:tcPr/>
          <w:p>
            <w:pPr>
              <w:pStyle w:val="Compact"/>
              <w:jc w:val="left"/>
            </w:pPr>
            <w:r>
              <w:t xml:space="preserve">Draft → Management Review → Manager Review → CAE Approval → Issued</w:t>
            </w:r>
          </w:p>
        </w:tc>
      </w:tr>
      <w:tr>
        <w:tc>
          <w:tcPr/>
          <w:p>
            <w:pPr>
              <w:pStyle w:val="Compact"/>
              <w:jc w:val="left"/>
            </w:pPr>
            <w:r>
              <w:t xml:space="preserve">Finding (issue)</w:t>
            </w:r>
          </w:p>
        </w:tc>
        <w:tc>
          <w:tcPr/>
          <w:p>
            <w:pPr>
              <w:pStyle w:val="Compact"/>
              <w:jc w:val="left"/>
            </w:pPr>
            <w:r>
              <w:t xml:space="preserve">Open → Remediating → Closed</w:t>
            </w:r>
          </w:p>
        </w:tc>
      </w:tr>
      <w:tr>
        <w:tc>
          <w:tcPr/>
          <w:p>
            <w:pPr>
              <w:pStyle w:val="Compact"/>
              <w:jc w:val="left"/>
            </w:pPr>
            <w:r>
              <w:t xml:space="preserve">Agreed action</w:t>
            </w:r>
          </w:p>
        </w:tc>
        <w:tc>
          <w:tcPr/>
          <w:p>
            <w:pPr>
              <w:pStyle w:val="Compact"/>
              <w:jc w:val="left"/>
            </w:pPr>
            <w:r>
              <w:t xml:space="preserve">Open → In Progress → Review → Closed (auditor verifies evidence before closure)</w:t>
            </w:r>
          </w:p>
        </w:tc>
      </w:tr>
    </w:tbl>
    <w:bookmarkEnd w:id="39"/>
    <w:bookmarkStart w:id="45" w:name="X9d5c7b8a7922c2d1fcee9b485887d93833169eb"/>
    <w:p>
      <w:pPr>
        <w:pStyle w:val="Heading1"/>
      </w:pPr>
      <w:r>
        <w:t xml:space="preserve">6. Process conversion map: GPHA procedure → GIAW</w:t>
      </w:r>
    </w:p>
    <w:p>
      <w:pPr>
        <w:pStyle w:val="FirstParagraph"/>
      </w:pPr>
      <w:r>
        <w:t xml:space="preserve">This is the core of the conversion. Each GPHA procedure, document or control is mapped to the app and feature that now carries it.</w:t>
      </w:r>
    </w:p>
    <w:bookmarkStart w:id="40" w:name="planning-and-governance"/>
    <w:p>
      <w:pPr>
        <w:pStyle w:val="Heading2"/>
      </w:pPr>
      <w:r>
        <w:t xml:space="preserve">6.1 Planning and governance</w:t>
      </w:r>
    </w:p>
    <w:tbl>
      <w:tblPr>
        <w:tblStyle w:val="Table"/>
        <w:tblW w:type="pct" w:w="5000"/>
        <w:tblLook w:firstRow="1" w:lastRow="0" w:firstColumn="0" w:lastColumn="0" w:noHBand="0" w:noVBand="0" w:val="0020"/>
        <w:jc w:val="start"/>
      </w:tblPr>
      <w:tblGrid>
        <w:gridCol w:w="2921"/>
        <w:gridCol w:w="2077"/>
        <w:gridCol w:w="2921"/>
      </w:tblGrid>
      <w:tr>
        <w:trPr>
          <w:tblHeader w:val="true"/>
          <w:tblHeader w:val="true"/>
        </w:trPr>
        <w:tc>
          <w:tcPr>
            <w:shd w:val="clear" w:color="auto" w:fill="1E60AE"/>
          </w:tcPr>
          <w:p>
            <w:pPr>
              <w:pStyle w:val="Compact"/>
              <w:jc w:val="left"/>
            </w:pPr>
            <w:r>
              <w:rPr>
                <w:b/>
                <w:color w:val="FFFFFF"/>
              </w:rPr>
              <w:t xml:space="preserve">GPHA procedure / document</w:t>
            </w:r>
          </w:p>
        </w:tc>
        <w:tc>
          <w:tcPr>
            <w:shd w:val="clear" w:color="auto" w:fill="1E60AE"/>
          </w:tcPr>
          <w:p>
            <w:pPr>
              <w:pStyle w:val="Compact"/>
              <w:jc w:val="left"/>
            </w:pPr>
            <w:r>
              <w:rPr>
                <w:b/>
                <w:color w:val="FFFFFF"/>
              </w:rPr>
              <w:t xml:space="preserve">GIAW app</w:t>
            </w:r>
          </w:p>
        </w:tc>
        <w:tc>
          <w:tcPr>
            <w:shd w:val="clear" w:color="auto" w:fill="1E60AE"/>
          </w:tcPr>
          <w:p>
            <w:pPr>
              <w:pStyle w:val="Compact"/>
              <w:jc w:val="left"/>
            </w:pPr>
            <w:r>
              <w:rPr>
                <w:b/>
                <w:color w:val="FFFFFF"/>
              </w:rPr>
              <w:t xml:space="preserve">How it works in GIAW</w:t>
            </w:r>
          </w:p>
        </w:tc>
      </w:tr>
      <w:tr>
        <w:tc>
          <w:tcPr/>
          <w:p>
            <w:pPr>
              <w:pStyle w:val="Compact"/>
              <w:jc w:val="left"/>
            </w:pPr>
            <w:r>
              <w:t xml:space="preserve">List of auditable areas (units, processes, systems, contracts)</w:t>
            </w:r>
          </w:p>
        </w:tc>
        <w:tc>
          <w:tcPr/>
          <w:p>
            <w:pPr>
              <w:pStyle w:val="Compact"/>
              <w:jc w:val="left"/>
            </w:pPr>
            <w:r>
              <w:t xml:space="preserve">Audit universe</w:t>
            </w:r>
          </w:p>
        </w:tc>
        <w:tc>
          <w:tcPr/>
          <w:p>
            <w:pPr>
              <w:pStyle w:val="Compact"/>
              <w:jc w:val="left"/>
            </w:pPr>
            <w:r>
              <w:t xml:space="preserve">Each auditable entity is recorded with its location, owner, stream, risk rating and last audit date; coverage gaps are visible</w:t>
            </w:r>
          </w:p>
        </w:tc>
      </w:tr>
      <w:tr>
        <w:tc>
          <w:tcPr/>
          <w:p>
            <w:pPr>
              <w:pStyle w:val="Compact"/>
              <w:jc w:val="left"/>
            </w:pPr>
            <w:r>
              <w:t xml:space="preserve">Departmental and audit risk assessment</w:t>
            </w:r>
          </w:p>
        </w:tc>
        <w:tc>
          <w:tcPr/>
          <w:p>
            <w:pPr>
              <w:pStyle w:val="Compact"/>
              <w:jc w:val="left"/>
            </w:pPr>
            <w:r>
              <w:t xml:space="preserve">Risk Manager, Audit universe</w:t>
            </w:r>
          </w:p>
        </w:tc>
        <w:tc>
          <w:tcPr/>
          <w:p>
            <w:pPr>
              <w:pStyle w:val="Compact"/>
              <w:jc w:val="left"/>
            </w:pPr>
            <w:r>
              <w:t xml:space="preserve">5 × 5 likelihood × impact scoring with configurable thresholds; ratings feed the plan</w:t>
            </w:r>
          </w:p>
        </w:tc>
      </w:tr>
      <w:tr>
        <w:tc>
          <w:tcPr/>
          <w:p>
            <w:pPr>
              <w:pStyle w:val="Compact"/>
              <w:jc w:val="left"/>
            </w:pPr>
            <w:r>
              <w:t xml:space="preserve">Annual risk-based audit plan</w:t>
            </w:r>
          </w:p>
        </w:tc>
        <w:tc>
          <w:tcPr/>
          <w:p>
            <w:pPr>
              <w:pStyle w:val="Compact"/>
              <w:jc w:val="left"/>
            </w:pPr>
            <w:r>
              <w:t xml:space="preserve">Assurance Plans</w:t>
            </w:r>
          </w:p>
        </w:tc>
        <w:tc>
          <w:tcPr/>
          <w:p>
            <w:pPr>
              <w:pStyle w:val="Compact"/>
              <w:jc w:val="left"/>
            </w:pPr>
            <w:r>
              <w:t xml:space="preserve">Plan lines linked to universe entities, budgeted days and quarters; ten-state approval cycle</w:t>
            </w:r>
          </w:p>
        </w:tc>
      </w:tr>
      <w:tr>
        <w:tc>
          <w:tcPr/>
          <w:p>
            <w:pPr>
              <w:pStyle w:val="Compact"/>
              <w:jc w:val="left"/>
            </w:pPr>
            <w:r>
              <w:t xml:space="preserve">Audit Committee approval of the plan</w:t>
            </w:r>
          </w:p>
        </w:tc>
        <w:tc>
          <w:tcPr/>
          <w:p>
            <w:pPr>
              <w:pStyle w:val="Compact"/>
              <w:jc w:val="left"/>
            </w:pPr>
            <w:r>
              <w:t xml:space="preserve">Assurance Plans, Audit Committee</w:t>
            </w:r>
          </w:p>
        </w:tc>
        <w:tc>
          <w:tcPr/>
          <w:p>
            <w:pPr>
              <w:pStyle w:val="Compact"/>
              <w:jc w:val="left"/>
            </w:pPr>
            <w:r>
              <w:t xml:space="preserve">Committee decision, date and minute reference recorded on the plan; GM Audit distributes the approved plan</w:t>
            </w:r>
          </w:p>
        </w:tc>
      </w:tr>
      <w:tr>
        <w:tc>
          <w:tcPr/>
          <w:p>
            <w:pPr>
              <w:pStyle w:val="Compact"/>
              <w:jc w:val="left"/>
            </w:pPr>
            <w:r>
              <w:t xml:space="preserve">Allocation to HQ, Tema and Takoradi</w:t>
            </w:r>
          </w:p>
        </w:tc>
        <w:tc>
          <w:tcPr/>
          <w:p>
            <w:pPr>
              <w:pStyle w:val="Compact"/>
              <w:jc w:val="left"/>
            </w:pPr>
            <w:r>
              <w:t xml:space="preserve">Organizations, Scheduler</w:t>
            </w:r>
          </w:p>
        </w:tc>
        <w:tc>
          <w:tcPr/>
          <w:p>
            <w:pPr>
              <w:pStyle w:val="Compact"/>
              <w:jc w:val="left"/>
            </w:pPr>
            <w:r>
              <w:t xml:space="preserve">Plan lines and audits carry the location; the scheduler books staff to engagements</w:t>
            </w:r>
          </w:p>
        </w:tc>
      </w:tr>
      <w:tr>
        <w:tc>
          <w:tcPr/>
          <w:p>
            <w:pPr>
              <w:pStyle w:val="Compact"/>
              <w:jc w:val="left"/>
            </w:pPr>
            <w:r>
              <w:t xml:space="preserve">Staff availability and time</w:t>
            </w:r>
          </w:p>
        </w:tc>
        <w:tc>
          <w:tcPr/>
          <w:p>
            <w:pPr>
              <w:pStyle w:val="Compact"/>
              <w:jc w:val="left"/>
            </w:pPr>
            <w:r>
              <w:t xml:space="preserve">Timesheets &amp; capacity</w:t>
            </w:r>
          </w:p>
        </w:tc>
        <w:tc>
          <w:tcPr/>
          <w:p>
            <w:pPr>
              <w:pStyle w:val="Compact"/>
              <w:jc w:val="left"/>
            </w:pPr>
            <w:r>
              <w:t xml:space="preserve">Available hours, utilisation and timesheets per auditor</w:t>
            </w:r>
          </w:p>
        </w:tc>
      </w:tr>
      <w:tr>
        <w:tc>
          <w:tcPr/>
          <w:p>
            <w:pPr>
              <w:pStyle w:val="Compact"/>
              <w:jc w:val="left"/>
            </w:pPr>
            <w:r>
              <w:t xml:space="preserve">Independence declarations, CPD and certifications</w:t>
            </w:r>
          </w:p>
        </w:tc>
        <w:tc>
          <w:tcPr/>
          <w:p>
            <w:pPr>
              <w:pStyle w:val="Compact"/>
              <w:jc w:val="left"/>
            </w:pPr>
            <w:r>
              <w:t xml:space="preserve">Professional practice</w:t>
            </w:r>
          </w:p>
        </w:tc>
        <w:tc>
          <w:tcPr/>
          <w:p>
            <w:pPr>
              <w:pStyle w:val="Compact"/>
              <w:jc w:val="left"/>
            </w:pPr>
            <w:r>
              <w:t xml:space="preserve">Annual and per-engagement independence declarations; training and CPD records</w:t>
            </w:r>
          </w:p>
        </w:tc>
      </w:tr>
    </w:tbl>
    <w:bookmarkEnd w:id="40"/>
    <w:bookmarkStart w:id="41" w:name="engagement-planning-and-fieldwork"/>
    <w:p>
      <w:pPr>
        <w:pStyle w:val="Heading2"/>
      </w:pPr>
      <w:r>
        <w:t xml:space="preserve">6.2 Engagement planning and fieldwork</w:t>
      </w:r>
    </w:p>
    <w:tbl>
      <w:tblPr>
        <w:tblStyle w:val="Table"/>
        <w:tblW w:type="pct" w:w="5000"/>
        <w:tblLook w:firstRow="1" w:lastRow="0" w:firstColumn="0" w:lastColumn="0" w:noHBand="0" w:noVBand="0" w:val="0020"/>
        <w:jc w:val="start"/>
      </w:tblPr>
      <w:tblGrid>
        <w:gridCol w:w="2874"/>
        <w:gridCol w:w="2171"/>
        <w:gridCol w:w="2874"/>
      </w:tblGrid>
      <w:tr>
        <w:trPr>
          <w:tblHeader w:val="true"/>
          <w:tblHeader w:val="true"/>
        </w:trPr>
        <w:tc>
          <w:tcPr>
            <w:shd w:val="clear" w:color="auto" w:fill="1E60AE"/>
          </w:tcPr>
          <w:p>
            <w:pPr>
              <w:pStyle w:val="Compact"/>
              <w:jc w:val="left"/>
            </w:pPr>
            <w:r>
              <w:rPr>
                <w:b/>
                <w:color w:val="FFFFFF"/>
              </w:rPr>
              <w:t xml:space="preserve">GPHA procedure / document</w:t>
            </w:r>
          </w:p>
        </w:tc>
        <w:tc>
          <w:tcPr>
            <w:shd w:val="clear" w:color="auto" w:fill="1E60AE"/>
          </w:tcPr>
          <w:p>
            <w:pPr>
              <w:pStyle w:val="Compact"/>
              <w:jc w:val="left"/>
            </w:pPr>
            <w:r>
              <w:rPr>
                <w:b/>
                <w:color w:val="FFFFFF"/>
              </w:rPr>
              <w:t xml:space="preserve">GIAW app</w:t>
            </w:r>
          </w:p>
        </w:tc>
        <w:tc>
          <w:tcPr>
            <w:shd w:val="clear" w:color="auto" w:fill="1E60AE"/>
          </w:tcPr>
          <w:p>
            <w:pPr>
              <w:pStyle w:val="Compact"/>
              <w:jc w:val="left"/>
            </w:pPr>
            <w:r>
              <w:rPr>
                <w:b/>
                <w:color w:val="FFFFFF"/>
              </w:rPr>
              <w:t xml:space="preserve">How it works in GIAW</w:t>
            </w:r>
          </w:p>
        </w:tc>
      </w:tr>
      <w:tr>
        <w:tc>
          <w:tcPr/>
          <w:p>
            <w:pPr>
              <w:pStyle w:val="Compact"/>
              <w:jc w:val="left"/>
            </w:pPr>
            <w:r>
              <w:t xml:space="preserve">Engagement assignment and team</w:t>
            </w:r>
          </w:p>
        </w:tc>
        <w:tc>
          <w:tcPr/>
          <w:p>
            <w:pPr>
              <w:pStyle w:val="Compact"/>
              <w:jc w:val="left"/>
            </w:pPr>
            <w:r>
              <w:t xml:space="preserve">Audits</w:t>
            </w:r>
          </w:p>
        </w:tc>
        <w:tc>
          <w:tcPr/>
          <w:p>
            <w:pPr>
              <w:pStyle w:val="Compact"/>
              <w:jc w:val="left"/>
            </w:pPr>
            <w:r>
              <w:t xml:space="preserve">Audit created from the plan line; team, lead and reviewer assigned</w:t>
            </w:r>
          </w:p>
        </w:tc>
      </w:tr>
      <w:tr>
        <w:tc>
          <w:tcPr/>
          <w:p>
            <w:pPr>
              <w:pStyle w:val="Compact"/>
              <w:jc w:val="left"/>
            </w:pPr>
            <w:r>
              <w:t xml:space="preserve">Planning memorandum / terms of reference, engagement letter</w:t>
            </w:r>
          </w:p>
        </w:tc>
        <w:tc>
          <w:tcPr/>
          <w:p>
            <w:pPr>
              <w:pStyle w:val="Compact"/>
              <w:jc w:val="left"/>
            </w:pPr>
            <w:r>
              <w:t xml:space="preserve">Audits</w:t>
            </w:r>
          </w:p>
        </w:tc>
        <w:tc>
          <w:tcPr/>
          <w:p>
            <w:pPr>
              <w:pStyle w:val="Compact"/>
              <w:jc w:val="left"/>
            </w:pPr>
            <w:r>
              <w:t xml:space="preserve">Planning section with objectives, scope and timing; engagement letter produced in Word</w:t>
            </w:r>
          </w:p>
        </w:tc>
      </w:tr>
      <w:tr>
        <w:tc>
          <w:tcPr/>
          <w:p>
            <w:pPr>
              <w:pStyle w:val="Compact"/>
              <w:jc w:val="left"/>
            </w:pPr>
            <w:r>
              <w:t xml:space="preserve">Audit programme for each stream</w:t>
            </w:r>
          </w:p>
        </w:tc>
        <w:tc>
          <w:tcPr/>
          <w:p>
            <w:pPr>
              <w:pStyle w:val="Compact"/>
              <w:jc w:val="left"/>
            </w:pPr>
            <w:r>
              <w:t xml:space="preserve">Project Library, Audits</w:t>
            </w:r>
          </w:p>
        </w:tc>
        <w:tc>
          <w:tcPr/>
          <w:p>
            <w:pPr>
              <w:pStyle w:val="Compact"/>
              <w:jc w:val="left"/>
            </w:pPr>
            <w:r>
              <w:t xml:space="preserve">Reusable work programmes for Expenditure, Revenue, Operations, Special Duties and IT; copied into each audit and adjusted</w:t>
            </w:r>
          </w:p>
        </w:tc>
      </w:tr>
      <w:tr>
        <w:tc>
          <w:tcPr/>
          <w:p>
            <w:pPr>
              <w:pStyle w:val="Compact"/>
              <w:jc w:val="left"/>
            </w:pPr>
            <w:r>
              <w:t xml:space="preserve">Risk and control matrix (RACM)</w:t>
            </w:r>
          </w:p>
        </w:tc>
        <w:tc>
          <w:tcPr/>
          <w:p>
            <w:pPr>
              <w:pStyle w:val="Compact"/>
              <w:jc w:val="left"/>
            </w:pPr>
            <w:r>
              <w:t xml:space="preserve">Audits, Frameworks</w:t>
            </w:r>
          </w:p>
        </w:tc>
        <w:tc>
          <w:tcPr/>
          <w:p>
            <w:pPr>
              <w:pStyle w:val="Compact"/>
              <w:jc w:val="left"/>
            </w:pPr>
            <w:r>
              <w:t xml:space="preserve">Risks and controls linked to programme procedures and to frameworks (for example ISO 27001 for IT audit)</w:t>
            </w:r>
          </w:p>
        </w:tc>
      </w:tr>
      <w:tr>
        <w:tc>
          <w:tcPr/>
          <w:p>
            <w:pPr>
              <w:pStyle w:val="Compact"/>
              <w:jc w:val="left"/>
            </w:pPr>
            <w:r>
              <w:t xml:space="preserve">Information / PBC requests to the audit client</w:t>
            </w:r>
          </w:p>
        </w:tc>
        <w:tc>
          <w:tcPr/>
          <w:p>
            <w:pPr>
              <w:pStyle w:val="Compact"/>
              <w:jc w:val="left"/>
            </w:pPr>
            <w:r>
              <w:t xml:space="preserve">Requests</w:t>
            </w:r>
          </w:p>
        </w:tc>
        <w:tc>
          <w:tcPr/>
          <w:p>
            <w:pPr>
              <w:pStyle w:val="Compact"/>
              <w:jc w:val="left"/>
            </w:pPr>
            <w:r>
              <w:t xml:space="preserve">Requests sent to named auditees with due dates; auditees upload documents; the auditor accepts or returns them</w:t>
            </w:r>
          </w:p>
        </w:tc>
      </w:tr>
      <w:tr>
        <w:tc>
          <w:tcPr/>
          <w:p>
            <w:pPr>
              <w:pStyle w:val="Compact"/>
              <w:jc w:val="left"/>
            </w:pPr>
            <w:r>
              <w:t xml:space="preserve">Fieldwork techniques (interview, walkthrough, observation, reperformance, data extraction)</w:t>
            </w:r>
          </w:p>
        </w:tc>
        <w:tc>
          <w:tcPr/>
          <w:p>
            <w:pPr>
              <w:pStyle w:val="Compact"/>
              <w:jc w:val="left"/>
            </w:pPr>
            <w:r>
              <w:t xml:space="preserve">Audits (working papers), Results</w:t>
            </w:r>
          </w:p>
        </w:tc>
        <w:tc>
          <w:tcPr/>
          <w:p>
            <w:pPr>
              <w:pStyle w:val="Compact"/>
              <w:jc w:val="left"/>
            </w:pPr>
            <w:r>
              <w:t xml:space="preserve">Each procedure records the work done, sample, result and conclusion; data analyses can be stored in Results tables</w:t>
            </w:r>
          </w:p>
        </w:tc>
      </w:tr>
      <w:tr>
        <w:tc>
          <w:tcPr/>
          <w:p>
            <w:pPr>
              <w:pStyle w:val="Compact"/>
              <w:jc w:val="left"/>
            </w:pPr>
            <w:r>
              <w:t xml:space="preserve">14-section working paper template</w:t>
            </w:r>
          </w:p>
        </w:tc>
        <w:tc>
          <w:tcPr/>
          <w:p>
            <w:pPr>
              <w:pStyle w:val="Compact"/>
              <w:jc w:val="left"/>
            </w:pPr>
            <w:r>
              <w:t xml:space="preserve">Audits (working papers)</w:t>
            </w:r>
          </w:p>
        </w:tc>
        <w:tc>
          <w:tcPr/>
          <w:p>
            <w:pPr>
              <w:pStyle w:val="Compact"/>
              <w:jc w:val="left"/>
            </w:pPr>
            <w:r>
              <w:t xml:space="preserve">Working paper sections are fields of the procedure record; attachments are encrypted; every change is logged</w:t>
            </w:r>
          </w:p>
        </w:tc>
      </w:tr>
      <w:tr>
        <w:tc>
          <w:tcPr/>
          <w:p>
            <w:pPr>
              <w:pStyle w:val="Compact"/>
              <w:jc w:val="left"/>
            </w:pPr>
            <w:r>
              <w:t xml:space="preserve">Cash counts, payroll audit, bank reconciliation review, value book checks</w:t>
            </w:r>
          </w:p>
        </w:tc>
        <w:tc>
          <w:tcPr/>
          <w:p>
            <w:pPr>
              <w:pStyle w:val="Compact"/>
              <w:jc w:val="left"/>
            </w:pPr>
            <w:r>
              <w:t xml:space="preserve">Project Library programmes, Audits</w:t>
            </w:r>
          </w:p>
        </w:tc>
        <w:tc>
          <w:tcPr/>
          <w:p>
            <w:pPr>
              <w:pStyle w:val="Compact"/>
              <w:jc w:val="left"/>
            </w:pPr>
            <w:r>
              <w:t xml:space="preserve">Standard programmes per stream; certificates and endorsed registers attached as evidence</w:t>
            </w:r>
          </w:p>
        </w:tc>
      </w:tr>
      <w:tr>
        <w:tc>
          <w:tcPr/>
          <w:p>
            <w:pPr>
              <w:pStyle w:val="Compact"/>
              <w:jc w:val="left"/>
            </w:pPr>
            <w:r>
              <w:t xml:space="preserve">Daily task follow-up within the team</w:t>
            </w:r>
          </w:p>
        </w:tc>
        <w:tc>
          <w:tcPr/>
          <w:p>
            <w:pPr>
              <w:pStyle w:val="Compact"/>
              <w:jc w:val="left"/>
            </w:pPr>
            <w:r>
              <w:t xml:space="preserve">Task Tracker</w:t>
            </w:r>
          </w:p>
        </w:tc>
        <w:tc>
          <w:tcPr/>
          <w:p>
            <w:pPr>
              <w:pStyle w:val="Compact"/>
              <w:jc w:val="left"/>
            </w:pPr>
            <w:r>
              <w:t xml:space="preserve">Personal priorities, to-dos and open requests in one place</w:t>
            </w:r>
          </w:p>
        </w:tc>
      </w:tr>
      <w:tr>
        <w:tc>
          <w:tcPr/>
          <w:p>
            <w:pPr>
              <w:pStyle w:val="Compact"/>
              <w:jc w:val="left"/>
            </w:pPr>
            <w:r>
              <w:t xml:space="preserve">Supervisor review of working papers</w:t>
            </w:r>
          </w:p>
        </w:tc>
        <w:tc>
          <w:tcPr/>
          <w:p>
            <w:pPr>
              <w:pStyle w:val="Compact"/>
              <w:jc w:val="left"/>
            </w:pPr>
            <w:r>
              <w:t xml:space="preserve">Audits (sign-offs)</w:t>
            </w:r>
          </w:p>
        </w:tc>
        <w:tc>
          <w:tcPr/>
          <w:p>
            <w:pPr>
              <w:pStyle w:val="Compact"/>
              <w:jc w:val="left"/>
            </w:pPr>
            <w:r>
              <w:t xml:space="preserve">Preparer and reviewer sign-offs per procedure; review notes must be cleared before sign-off</w:t>
            </w:r>
          </w:p>
        </w:tc>
      </w:tr>
    </w:tbl>
    <w:bookmarkEnd w:id="41"/>
    <w:bookmarkStart w:id="42" w:name="findings-responses-and-reporting"/>
    <w:p>
      <w:pPr>
        <w:pStyle w:val="Heading2"/>
      </w:pPr>
      <w:r>
        <w:t xml:space="preserve">6.3 Findings, responses and reporting</w:t>
      </w:r>
    </w:p>
    <w:tbl>
      <w:tblPr>
        <w:tblStyle w:val="Table"/>
        <w:tblW w:type="pct" w:w="5000"/>
        <w:tblLook w:firstRow="1" w:lastRow="0" w:firstColumn="0" w:lastColumn="0" w:noHBand="0" w:noVBand="0" w:val="0020"/>
        <w:jc w:val="start"/>
      </w:tblPr>
      <w:tblGrid>
        <w:gridCol w:w="2700"/>
        <w:gridCol w:w="2520"/>
        <w:gridCol w:w="2700"/>
      </w:tblGrid>
      <w:tr>
        <w:trPr>
          <w:tblHeader w:val="true"/>
          <w:tblHeader w:val="true"/>
        </w:trPr>
        <w:tc>
          <w:tcPr>
            <w:shd w:val="clear" w:color="auto" w:fill="1E60AE"/>
          </w:tcPr>
          <w:p>
            <w:pPr>
              <w:pStyle w:val="Compact"/>
              <w:jc w:val="left"/>
            </w:pPr>
            <w:r>
              <w:rPr>
                <w:b/>
                <w:color w:val="FFFFFF"/>
              </w:rPr>
              <w:t xml:space="preserve">GPHA procedure / document</w:t>
            </w:r>
          </w:p>
        </w:tc>
        <w:tc>
          <w:tcPr>
            <w:shd w:val="clear" w:color="auto" w:fill="1E60AE"/>
          </w:tcPr>
          <w:p>
            <w:pPr>
              <w:pStyle w:val="Compact"/>
              <w:jc w:val="left"/>
            </w:pPr>
            <w:r>
              <w:rPr>
                <w:b/>
                <w:color w:val="FFFFFF"/>
              </w:rPr>
              <w:t xml:space="preserve">GIAW app</w:t>
            </w:r>
          </w:p>
        </w:tc>
        <w:tc>
          <w:tcPr>
            <w:shd w:val="clear" w:color="auto" w:fill="1E60AE"/>
          </w:tcPr>
          <w:p>
            <w:pPr>
              <w:pStyle w:val="Compact"/>
              <w:jc w:val="left"/>
            </w:pPr>
            <w:r>
              <w:rPr>
                <w:b/>
                <w:color w:val="FFFFFF"/>
              </w:rPr>
              <w:t xml:space="preserve">How it works in GIAW</w:t>
            </w:r>
          </w:p>
        </w:tc>
      </w:tr>
      <w:tr>
        <w:tc>
          <w:tcPr/>
          <w:p>
            <w:pPr>
              <w:pStyle w:val="Compact"/>
              <w:jc w:val="left"/>
            </w:pPr>
            <w:r>
              <w:t xml:space="preserve">Finding format: Criteria, Condition, Cause, Effect, Recommendation</w:t>
            </w:r>
          </w:p>
        </w:tc>
        <w:tc>
          <w:tcPr/>
          <w:p>
            <w:pPr>
              <w:pStyle w:val="Compact"/>
              <w:jc w:val="left"/>
            </w:pPr>
            <w:r>
              <w:t xml:space="preserve">Audits (Issues)</w:t>
            </w:r>
          </w:p>
        </w:tc>
        <w:tc>
          <w:tcPr/>
          <w:p>
            <w:pPr>
              <w:pStyle w:val="Compact"/>
              <w:jc w:val="left"/>
            </w:pPr>
            <w:r>
              <w:t xml:space="preserve">Each issue has these five fields plus rating, owner and linked evidence</w:t>
            </w:r>
          </w:p>
        </w:tc>
      </w:tr>
      <w:tr>
        <w:tc>
          <w:tcPr/>
          <w:p>
            <w:pPr>
              <w:pStyle w:val="Compact"/>
              <w:jc w:val="left"/>
            </w:pPr>
            <w:r>
              <w:t xml:space="preserve">Discussion with the Unit Head</w:t>
            </w:r>
          </w:p>
        </w:tc>
        <w:tc>
          <w:tcPr/>
          <w:p>
            <w:pPr>
              <w:pStyle w:val="Compact"/>
              <w:jc w:val="left"/>
            </w:pPr>
            <w:r>
              <w:t xml:space="preserve">Audits (Issues)</w:t>
            </w:r>
          </w:p>
        </w:tc>
        <w:tc>
          <w:tcPr/>
          <w:p>
            <w:pPr>
              <w:pStyle w:val="Compact"/>
              <w:jc w:val="left"/>
            </w:pPr>
            <w:r>
              <w:t xml:space="preserve">Issue status and comments record the discussion</w:t>
            </w:r>
          </w:p>
        </w:tc>
      </w:tr>
      <w:tr>
        <w:tc>
          <w:tcPr/>
          <w:p>
            <w:pPr>
              <w:pStyle w:val="Compact"/>
              <w:jc w:val="left"/>
            </w:pPr>
            <w:r>
              <w:t xml:space="preserve">Exit meeting</w:t>
            </w:r>
          </w:p>
        </w:tc>
        <w:tc>
          <w:tcPr/>
          <w:p>
            <w:pPr>
              <w:pStyle w:val="Compact"/>
              <w:jc w:val="left"/>
            </w:pPr>
            <w:r>
              <w:t xml:space="preserve">Audits</w:t>
            </w:r>
          </w:p>
        </w:tc>
        <w:tc>
          <w:tcPr/>
          <w:p>
            <w:pPr>
              <w:pStyle w:val="Compact"/>
              <w:jc w:val="left"/>
            </w:pPr>
            <w:r>
              <w:t xml:space="preserve">Exit meeting date, attendees and agreed points recorded before the report is issued</w:t>
            </w:r>
          </w:p>
        </w:tc>
      </w:tr>
      <w:tr>
        <w:tc>
          <w:tcPr/>
          <w:p>
            <w:pPr>
              <w:pStyle w:val="Compact"/>
              <w:jc w:val="left"/>
            </w:pPr>
            <w:r>
              <w:t xml:space="preserve">Management response: action plan, responsible officer, target date</w:t>
            </w:r>
          </w:p>
        </w:tc>
        <w:tc>
          <w:tcPr/>
          <w:p>
            <w:pPr>
              <w:pStyle w:val="Compact"/>
              <w:jc w:val="left"/>
            </w:pPr>
            <w:r>
              <w:t xml:space="preserve">Audits (Issues), Remediation &amp; Follow-up</w:t>
            </w:r>
          </w:p>
        </w:tc>
        <w:tc>
          <w:tcPr/>
          <w:p>
            <w:pPr>
              <w:pStyle w:val="Compact"/>
              <w:jc w:val="left"/>
            </w:pPr>
            <w:r>
              <w:t xml:space="preserve">The audit client enters the response online; actions are created with owner and target date</w:t>
            </w:r>
          </w:p>
        </w:tc>
      </w:tr>
      <w:tr>
        <w:tc>
          <w:tcPr/>
          <w:p>
            <w:pPr>
              <w:pStyle w:val="Compact"/>
              <w:jc w:val="left"/>
            </w:pPr>
            <w:r>
              <w:t xml:space="preserve">Review chain Unit Head → Audit Manager → PIA → GM Audit</w:t>
            </w:r>
          </w:p>
        </w:tc>
        <w:tc>
          <w:tcPr/>
          <w:p>
            <w:pPr>
              <w:pStyle w:val="Compact"/>
              <w:jc w:val="left"/>
            </w:pPr>
            <w:r>
              <w:t xml:space="preserve">Audits (report review chain)</w:t>
            </w:r>
          </w:p>
        </w:tc>
        <w:tc>
          <w:tcPr/>
          <w:p>
            <w:pPr>
              <w:pStyle w:val="Compact"/>
              <w:jc w:val="left"/>
            </w:pPr>
            <w:r>
              <w:t xml:space="preserve">Report moves Draft → Management Review → Manager Review → CAE Approval → Issued; review levels are configurable</w:t>
            </w:r>
          </w:p>
        </w:tc>
      </w:tr>
      <w:tr>
        <w:tc>
          <w:tcPr/>
          <w:p>
            <w:pPr>
              <w:pStyle w:val="Compact"/>
              <w:jc w:val="left"/>
            </w:pPr>
            <w:r>
              <w:t xml:space="preserve">Final audit report</w:t>
            </w:r>
          </w:p>
        </w:tc>
        <w:tc>
          <w:tcPr/>
          <w:p>
            <w:pPr>
              <w:pStyle w:val="Compact"/>
              <w:jc w:val="left"/>
            </w:pPr>
            <w:r>
              <w:t xml:space="preserve">Audits</w:t>
            </w:r>
          </w:p>
        </w:tc>
        <w:tc>
          <w:tcPr/>
          <w:p>
            <w:pPr>
              <w:pStyle w:val="Compact"/>
              <w:jc w:val="left"/>
            </w:pPr>
            <w:r>
              <w:t xml:space="preserve">Word report generated from the audit record using the GPHA template</w:t>
            </w:r>
          </w:p>
        </w:tc>
      </w:tr>
      <w:tr>
        <w:tc>
          <w:tcPr/>
          <w:p>
            <w:pPr>
              <w:pStyle w:val="Compact"/>
              <w:jc w:val="left"/>
            </w:pPr>
            <w:r>
              <w:t xml:space="preserve">DG / Corporate Management and Audit Committee reporting</w:t>
            </w:r>
          </w:p>
        </w:tc>
        <w:tc>
          <w:tcPr/>
          <w:p>
            <w:pPr>
              <w:pStyle w:val="Compact"/>
              <w:jc w:val="left"/>
            </w:pPr>
            <w:r>
              <w:t xml:space="preserve">Audit Committee, Governance portal</w:t>
            </w:r>
          </w:p>
        </w:tc>
        <w:tc>
          <w:tcPr/>
          <w:p>
            <w:pPr>
              <w:pStyle w:val="Compact"/>
              <w:jc w:val="left"/>
            </w:pPr>
            <w:r>
              <w:t xml:space="preserve">Committee pack (plan progress, reports, overdue actions, directives) produced in Word; read-only governance view</w:t>
            </w:r>
          </w:p>
        </w:tc>
      </w:tr>
      <w:tr>
        <w:tc>
          <w:tcPr/>
          <w:p>
            <w:pPr>
              <w:pStyle w:val="Compact"/>
              <w:jc w:val="left"/>
            </w:pPr>
            <w:r>
              <w:t xml:space="preserve">Quarterly and annual consolidated reports</w:t>
            </w:r>
          </w:p>
        </w:tc>
        <w:tc>
          <w:tcPr/>
          <w:p>
            <w:pPr>
              <w:pStyle w:val="Compact"/>
              <w:jc w:val="left"/>
            </w:pPr>
            <w:r>
              <w:t xml:space="preserve">Analytics, Audit Committee, Port portfolio</w:t>
            </w:r>
          </w:p>
        </w:tc>
        <w:tc>
          <w:tcPr/>
          <w:p>
            <w:pPr>
              <w:pStyle w:val="Compact"/>
              <w:jc w:val="left"/>
            </w:pPr>
            <w:r>
              <w:t xml:space="preserve">Coverage and results by port and stream; statutory and Committee reports</w:t>
            </w:r>
          </w:p>
        </w:tc>
      </w:tr>
    </w:tbl>
    <w:bookmarkEnd w:id="42"/>
    <w:bookmarkStart w:id="43" w:name="follow-up-quality-and-records"/>
    <w:p>
      <w:pPr>
        <w:pStyle w:val="Heading2"/>
      </w:pPr>
      <w:r>
        <w:t xml:space="preserve">6.4 Follow-up, quality and records</w:t>
      </w:r>
    </w:p>
    <w:tbl>
      <w:tblPr>
        <w:tblStyle w:val="Table"/>
        <w:tblW w:type="pct" w:w="5000"/>
        <w:tblLook w:firstRow="1" w:lastRow="0" w:firstColumn="0" w:lastColumn="0" w:noHBand="0" w:noVBand="0" w:val="0020"/>
        <w:jc w:val="start"/>
      </w:tblPr>
      <w:tblGrid>
        <w:gridCol w:w="2828"/>
        <w:gridCol w:w="2262"/>
        <w:gridCol w:w="2828"/>
      </w:tblGrid>
      <w:tr>
        <w:trPr>
          <w:tblHeader w:val="true"/>
          <w:tblHeader w:val="true"/>
        </w:trPr>
        <w:tc>
          <w:tcPr>
            <w:shd w:val="clear" w:color="auto" w:fill="1E60AE"/>
          </w:tcPr>
          <w:p>
            <w:pPr>
              <w:pStyle w:val="Compact"/>
              <w:jc w:val="left"/>
            </w:pPr>
            <w:r>
              <w:rPr>
                <w:b/>
                <w:color w:val="FFFFFF"/>
              </w:rPr>
              <w:t xml:space="preserve">GPHA procedure / document</w:t>
            </w:r>
          </w:p>
        </w:tc>
        <w:tc>
          <w:tcPr>
            <w:shd w:val="clear" w:color="auto" w:fill="1E60AE"/>
          </w:tcPr>
          <w:p>
            <w:pPr>
              <w:pStyle w:val="Compact"/>
              <w:jc w:val="left"/>
            </w:pPr>
            <w:r>
              <w:rPr>
                <w:b/>
                <w:color w:val="FFFFFF"/>
              </w:rPr>
              <w:t xml:space="preserve">GIAW app</w:t>
            </w:r>
          </w:p>
        </w:tc>
        <w:tc>
          <w:tcPr>
            <w:shd w:val="clear" w:color="auto" w:fill="1E60AE"/>
          </w:tcPr>
          <w:p>
            <w:pPr>
              <w:pStyle w:val="Compact"/>
              <w:jc w:val="left"/>
            </w:pPr>
            <w:r>
              <w:rPr>
                <w:b/>
                <w:color w:val="FFFFFF"/>
              </w:rPr>
              <w:t xml:space="preserve">How it works in GIAW</w:t>
            </w:r>
          </w:p>
        </w:tc>
      </w:tr>
      <w:tr>
        <w:tc>
          <w:tcPr/>
          <w:p>
            <w:pPr>
              <w:pStyle w:val="Compact"/>
              <w:jc w:val="left"/>
            </w:pPr>
            <w:r>
              <w:t xml:space="preserve">Follow-up of agreed actions</w:t>
            </w:r>
          </w:p>
        </w:tc>
        <w:tc>
          <w:tcPr/>
          <w:p>
            <w:pPr>
              <w:pStyle w:val="Compact"/>
              <w:jc w:val="left"/>
            </w:pPr>
            <w:r>
              <w:t xml:space="preserve">Remediation &amp; Follow-up</w:t>
            </w:r>
          </w:p>
        </w:tc>
        <w:tc>
          <w:tcPr/>
          <w:p>
            <w:pPr>
              <w:pStyle w:val="Compact"/>
              <w:jc w:val="left"/>
            </w:pPr>
            <w:r>
              <w:t xml:space="preserve">Owners update progress and upload evidence; the auditor verifies before closure; overdue actions are flagged</w:t>
            </w:r>
          </w:p>
        </w:tc>
      </w:tr>
      <w:tr>
        <w:tc>
          <w:tcPr/>
          <w:p>
            <w:pPr>
              <w:pStyle w:val="Compact"/>
              <w:jc w:val="left"/>
            </w:pPr>
            <w:r>
              <w:t xml:space="preserve">Follow-up of Audit Committee directives</w:t>
            </w:r>
          </w:p>
        </w:tc>
        <w:tc>
          <w:tcPr/>
          <w:p>
            <w:pPr>
              <w:pStyle w:val="Compact"/>
              <w:jc w:val="left"/>
            </w:pPr>
            <w:r>
              <w:t xml:space="preserve">Audit Committee</w:t>
            </w:r>
          </w:p>
        </w:tc>
        <w:tc>
          <w:tcPr/>
          <w:p>
            <w:pPr>
              <w:pStyle w:val="Compact"/>
              <w:jc w:val="left"/>
            </w:pPr>
            <w:r>
              <w:t xml:space="preserve">Directives recorded with owner and due date and tracked to closure</w:t>
            </w:r>
          </w:p>
        </w:tc>
      </w:tr>
      <w:tr>
        <w:tc>
          <w:tcPr/>
          <w:p>
            <w:pPr>
              <w:pStyle w:val="Compact"/>
              <w:jc w:val="left"/>
            </w:pPr>
            <w:r>
              <w:t xml:space="preserve">Closure, reopening and escalation</w:t>
            </w:r>
          </w:p>
        </w:tc>
        <w:tc>
          <w:tcPr/>
          <w:p>
            <w:pPr>
              <w:pStyle w:val="Compact"/>
              <w:jc w:val="left"/>
            </w:pPr>
            <w:r>
              <w:t xml:space="preserve">Remediation &amp; Follow-up, Automations</w:t>
            </w:r>
          </w:p>
        </w:tc>
        <w:tc>
          <w:tcPr/>
          <w:p>
            <w:pPr>
              <w:pStyle w:val="Compact"/>
              <w:jc w:val="left"/>
            </w:pPr>
            <w:r>
              <w:t xml:space="preserve">Actions can be closed, reopened or escalated; reminder and escalation rules are configurable</w:t>
            </w:r>
          </w:p>
        </w:tc>
      </w:tr>
      <w:tr>
        <w:tc>
          <w:tcPr/>
          <w:p>
            <w:pPr>
              <w:pStyle w:val="Compact"/>
              <w:jc w:val="left"/>
            </w:pPr>
            <w:r>
              <w:t xml:space="preserve">Recurring findings and feedback to the next plan</w:t>
            </w:r>
          </w:p>
        </w:tc>
        <w:tc>
          <w:tcPr/>
          <w:p>
            <w:pPr>
              <w:pStyle w:val="Compact"/>
              <w:jc w:val="left"/>
            </w:pPr>
            <w:r>
              <w:t xml:space="preserve">Audit universe, Analytics</w:t>
            </w:r>
          </w:p>
        </w:tc>
        <w:tc>
          <w:tcPr/>
          <w:p>
            <w:pPr>
              <w:pStyle w:val="Compact"/>
              <w:jc w:val="left"/>
            </w:pPr>
            <w:r>
              <w:t xml:space="preserve">Open and recurring issues update the entity’s risk view for the next risk assessment</w:t>
            </w:r>
          </w:p>
        </w:tc>
      </w:tr>
      <w:tr>
        <w:tc>
          <w:tcPr/>
          <w:p>
            <w:pPr>
              <w:pStyle w:val="Compact"/>
              <w:jc w:val="left"/>
            </w:pPr>
            <w:r>
              <w:t xml:space="preserve">KPIs (irregularities, lapses, cycle time, non-adherence, close-out rate, reports realised vs planned)</w:t>
            </w:r>
          </w:p>
        </w:tc>
        <w:tc>
          <w:tcPr/>
          <w:p>
            <w:pPr>
              <w:pStyle w:val="Compact"/>
              <w:jc w:val="left"/>
            </w:pPr>
            <w:r>
              <w:t xml:space="preserve">Analytics</w:t>
            </w:r>
          </w:p>
        </w:tc>
        <w:tc>
          <w:tcPr/>
          <w:p>
            <w:pPr>
              <w:pStyle w:val="Compact"/>
              <w:jc w:val="left"/>
            </w:pPr>
            <w:r>
              <w:t xml:space="preserve">KPI tiles, trends and heat maps; configurable targets</w:t>
            </w:r>
          </w:p>
        </w:tc>
      </w:tr>
      <w:tr>
        <w:tc>
          <w:tcPr/>
          <w:p>
            <w:pPr>
              <w:pStyle w:val="Compact"/>
              <w:jc w:val="left"/>
            </w:pPr>
            <w:r>
              <w:t xml:space="preserve">Client satisfaction / service feedback</w:t>
            </w:r>
          </w:p>
        </w:tc>
        <w:tc>
          <w:tcPr/>
          <w:p>
            <w:pPr>
              <w:pStyle w:val="Compact"/>
              <w:jc w:val="left"/>
            </w:pPr>
            <w:r>
              <w:t xml:space="preserve">Service Feedback</w:t>
            </w:r>
          </w:p>
        </w:tc>
        <w:tc>
          <w:tcPr/>
          <w:p>
            <w:pPr>
              <w:pStyle w:val="Compact"/>
              <w:jc w:val="left"/>
            </w:pPr>
            <w:r>
              <w:t xml:space="preserve">Post-engagement survey to the audit client</w:t>
            </w:r>
          </w:p>
        </w:tc>
      </w:tr>
      <w:tr>
        <w:tc>
          <w:tcPr/>
          <w:p>
            <w:pPr>
              <w:pStyle w:val="Compact"/>
              <w:jc w:val="left"/>
            </w:pPr>
            <w:r>
              <w:t xml:space="preserve">Quality assurance and improvement programme (IIA Standards)</w:t>
            </w:r>
          </w:p>
        </w:tc>
        <w:tc>
          <w:tcPr/>
          <w:p>
            <w:pPr>
              <w:pStyle w:val="Compact"/>
              <w:jc w:val="left"/>
            </w:pPr>
            <w:r>
              <w:t xml:space="preserve">Quality (QAIP)</w:t>
            </w:r>
          </w:p>
        </w:tc>
        <w:tc>
          <w:tcPr/>
          <w:p>
            <w:pPr>
              <w:pStyle w:val="Compact"/>
              <w:jc w:val="left"/>
            </w:pPr>
            <w:r>
              <w:t xml:space="preserve">Internal assessments, file reviews and improvement actions</w:t>
            </w:r>
          </w:p>
        </w:tc>
      </w:tr>
      <w:tr>
        <w:tc>
          <w:tcPr/>
          <w:p>
            <w:pPr>
              <w:pStyle w:val="Compact"/>
              <w:jc w:val="left"/>
            </w:pPr>
            <w:r>
              <w:t xml:space="preserve">ISO nonconformances raised by audits</w:t>
            </w:r>
          </w:p>
        </w:tc>
        <w:tc>
          <w:tcPr/>
          <w:p>
            <w:pPr>
              <w:pStyle w:val="Compact"/>
              <w:jc w:val="left"/>
            </w:pPr>
            <w:r>
              <w:t xml:space="preserve">Nonconformance</w:t>
            </w:r>
          </w:p>
        </w:tc>
        <w:tc>
          <w:tcPr/>
          <w:p>
            <w:pPr>
              <w:pStyle w:val="Compact"/>
              <w:jc w:val="left"/>
            </w:pPr>
            <w:r>
              <w:t xml:space="preserve">Nonconformance register linked to issues and actions</w:t>
            </w:r>
          </w:p>
        </w:tc>
      </w:tr>
      <w:tr>
        <w:tc>
          <w:tcPr/>
          <w:p>
            <w:pPr>
              <w:pStyle w:val="Compact"/>
              <w:jc w:val="left"/>
            </w:pPr>
            <w:r>
              <w:t xml:space="preserve">Policies and procedures (including IMS_PS_004_AU03)</w:t>
            </w:r>
          </w:p>
        </w:tc>
        <w:tc>
          <w:tcPr/>
          <w:p>
            <w:pPr>
              <w:pStyle w:val="Compact"/>
              <w:jc w:val="left"/>
            </w:pPr>
            <w:r>
              <w:t xml:space="preserve">Policy Manager</w:t>
            </w:r>
          </w:p>
        </w:tc>
        <w:tc>
          <w:tcPr/>
          <w:p>
            <w:pPr>
              <w:pStyle w:val="Compact"/>
              <w:jc w:val="left"/>
            </w:pPr>
            <w:r>
              <w:t xml:space="preserve">Controlled copies, versions and attestations</w:t>
            </w:r>
          </w:p>
        </w:tc>
      </w:tr>
      <w:tr>
        <w:tc>
          <w:tcPr/>
          <w:p>
            <w:pPr>
              <w:pStyle w:val="Compact"/>
              <w:jc w:val="left"/>
            </w:pPr>
            <w:r>
              <w:t xml:space="preserve">Stakeholders and interested parties (Ghana Audit Service, GRA, ICAG, PAC, IAA, PPA, Ministry of Transport, Audit Committee, external auditors)</w:t>
            </w:r>
          </w:p>
        </w:tc>
        <w:tc>
          <w:tcPr/>
          <w:p>
            <w:pPr>
              <w:pStyle w:val="Compact"/>
              <w:jc w:val="left"/>
            </w:pPr>
            <w:r>
              <w:t xml:space="preserve">Stakeholders, Organizations</w:t>
            </w:r>
          </w:p>
        </w:tc>
        <w:tc>
          <w:tcPr/>
          <w:p>
            <w:pPr>
              <w:pStyle w:val="Compact"/>
              <w:jc w:val="left"/>
            </w:pPr>
            <w:r>
              <w:t xml:space="preserve">Contacts and organisations recorded and used in requests and distribution</w:t>
            </w:r>
          </w:p>
        </w:tc>
      </w:tr>
      <w:tr>
        <w:tc>
          <w:tcPr/>
          <w:p>
            <w:pPr>
              <w:pStyle w:val="Compact"/>
              <w:jc w:val="left"/>
            </w:pPr>
            <w:r>
              <w:t xml:space="preserve">Audit file retention and audit trail</w:t>
            </w:r>
          </w:p>
        </w:tc>
        <w:tc>
          <w:tcPr/>
          <w:p>
            <w:pPr>
              <w:pStyle w:val="Compact"/>
              <w:jc w:val="left"/>
            </w:pPr>
            <w:r>
              <w:t xml:space="preserve">All apps (platform)</w:t>
            </w:r>
          </w:p>
        </w:tc>
        <w:tc>
          <w:tcPr/>
          <w:p>
            <w:pPr>
              <w:pStyle w:val="Compact"/>
              <w:jc w:val="left"/>
            </w:pPr>
            <w:r>
              <w:t xml:space="preserve">Append-only audit trail; retention period configurable; encrypted backups</w:t>
            </w:r>
          </w:p>
        </w:tc>
      </w:tr>
    </w:tbl>
    <w:bookmarkEnd w:id="43"/>
    <w:bookmarkStart w:id="44" w:name="inputs-and-outputs-in-giaw"/>
    <w:p>
      <w:pPr>
        <w:pStyle w:val="Heading2"/>
      </w:pPr>
      <w:r>
        <w:t xml:space="preserve">6.5 Inputs and outputs in GIAW</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1E60AE"/>
          </w:tcPr>
          <w:p>
            <w:pPr>
              <w:pStyle w:val="Compact"/>
              <w:jc w:val="left"/>
            </w:pPr>
            <w:r>
              <w:rPr>
                <w:b/>
                <w:color w:val="FFFFFF"/>
              </w:rPr>
              <w:t xml:space="preserve">GPHA input or output</w:t>
            </w:r>
          </w:p>
        </w:tc>
        <w:tc>
          <w:tcPr>
            <w:shd w:val="clear" w:color="auto" w:fill="1E60AE"/>
          </w:tcPr>
          <w:p>
            <w:pPr>
              <w:pStyle w:val="Compact"/>
              <w:jc w:val="left"/>
            </w:pPr>
            <w:r>
              <w:rPr>
                <w:b/>
                <w:color w:val="FFFFFF"/>
              </w:rPr>
              <w:t xml:space="preserve">Where it lives in GIAW</w:t>
            </w:r>
          </w:p>
        </w:tc>
      </w:tr>
      <w:tr>
        <w:tc>
          <w:tcPr/>
          <w:p>
            <w:pPr>
              <w:pStyle w:val="Compact"/>
              <w:jc w:val="left"/>
            </w:pPr>
            <w:r>
              <w:t xml:space="preserve">Source documents (vouchers, bank statements, cash books, invoices, waybills, manifests, payroll, value books, fuel coupons, pilotage cards and similar)</w:t>
            </w:r>
          </w:p>
        </w:tc>
        <w:tc>
          <w:tcPr/>
          <w:p>
            <w:pPr>
              <w:pStyle w:val="Compact"/>
              <w:jc w:val="left"/>
            </w:pPr>
            <w:r>
              <w:t xml:space="preserve">Uploaded through Requests or attached to working papers; encrypted at rest</w:t>
            </w:r>
          </w:p>
        </w:tc>
      </w:tr>
      <w:tr>
        <w:tc>
          <w:tcPr/>
          <w:p>
            <w:pPr>
              <w:pStyle w:val="Compact"/>
              <w:jc w:val="left"/>
            </w:pPr>
            <w:r>
              <w:t xml:space="preserve">ERP and TOS extracts</w:t>
            </w:r>
          </w:p>
        </w:tc>
        <w:tc>
          <w:tcPr/>
          <w:p>
            <w:pPr>
              <w:pStyle w:val="Compact"/>
              <w:jc w:val="left"/>
            </w:pPr>
            <w:r>
              <w:t xml:space="preserve">Uploaded as evidence or loaded into Results tables for analysis</w:t>
            </w:r>
          </w:p>
        </w:tc>
      </w:tr>
      <w:tr>
        <w:tc>
          <w:tcPr/>
          <w:p>
            <w:pPr>
              <w:pStyle w:val="Compact"/>
              <w:jc w:val="left"/>
            </w:pPr>
            <w:r>
              <w:t xml:space="preserve">Audit reports, engagement letters, Committee packs</w:t>
            </w:r>
          </w:p>
        </w:tc>
        <w:tc>
          <w:tcPr/>
          <w:p>
            <w:pPr>
              <w:pStyle w:val="Compact"/>
              <w:jc w:val="left"/>
            </w:pPr>
            <w:r>
              <w:t xml:space="preserve">Generated as Word documents</w:t>
            </w:r>
          </w:p>
        </w:tc>
      </w:tr>
      <w:tr>
        <w:tc>
          <w:tcPr/>
          <w:p>
            <w:pPr>
              <w:pStyle w:val="Compact"/>
              <w:jc w:val="left"/>
            </w:pPr>
            <w:r>
              <w:t xml:space="preserve">Cash-count and endorsed certificates, audited registers, reviewed reconciliations</w:t>
            </w:r>
          </w:p>
        </w:tc>
        <w:tc>
          <w:tcPr/>
          <w:p>
            <w:pPr>
              <w:pStyle w:val="Compact"/>
              <w:jc w:val="left"/>
            </w:pPr>
            <w:r>
              <w:t xml:space="preserve">Attached to the procedure as evidence; listed in the report</w:t>
            </w:r>
          </w:p>
        </w:tc>
      </w:tr>
      <w:tr>
        <w:tc>
          <w:tcPr/>
          <w:p>
            <w:pPr>
              <w:pStyle w:val="Compact"/>
              <w:jc w:val="left"/>
            </w:pPr>
            <w:r>
              <w:t xml:space="preserve">Registers (findings, actions, risks, plan)</w:t>
            </w:r>
          </w:p>
        </w:tc>
        <w:tc>
          <w:tcPr/>
          <w:p>
            <w:pPr>
              <w:pStyle w:val="Compact"/>
              <w:jc w:val="left"/>
            </w:pPr>
            <w:r>
              <w:t xml:space="preserve">Exported to Excel at any time</w:t>
            </w:r>
          </w:p>
        </w:tc>
      </w:tr>
    </w:tbl>
    <w:bookmarkEnd w:id="44"/>
    <w:bookmarkEnd w:id="45"/>
    <w:bookmarkStart w:id="48" w:name="gaps-closed-and-decisions-needed"/>
    <w:p>
      <w:pPr>
        <w:pStyle w:val="Heading1"/>
      </w:pPr>
      <w:r>
        <w:t xml:space="preserve">7. Gaps closed and decisions needed</w:t>
      </w:r>
    </w:p>
    <w:bookmarkStart w:id="46" w:name="how-giaw-closes-the-gaps"/>
    <w:p>
      <w:pPr>
        <w:pStyle w:val="Heading2"/>
      </w:pPr>
      <w:r>
        <w:t xml:space="preserve">7.1 How GIAW closes the gaps</w:t>
      </w:r>
    </w:p>
    <w:tbl>
      <w:tblPr>
        <w:tblStyle w:val="Table"/>
        <w:tblW w:type="pct" w:w="5000"/>
        <w:tblLook w:firstRow="1" w:lastRow="0" w:firstColumn="0" w:lastColumn="0" w:noHBand="0" w:noVBand="0" w:val="0020"/>
        <w:jc w:val="start"/>
      </w:tblPr>
      <w:tblGrid>
        <w:gridCol w:w="2678"/>
        <w:gridCol w:w="5241"/>
      </w:tblGrid>
      <w:tr>
        <w:trPr>
          <w:tblHeader w:val="true"/>
          <w:tblHeader w:val="true"/>
        </w:trPr>
        <w:tc>
          <w:tcPr>
            <w:shd w:val="clear" w:color="auto" w:fill="1E60AE"/>
          </w:tcPr>
          <w:p>
            <w:pPr>
              <w:pStyle w:val="Compact"/>
              <w:jc w:val="left"/>
            </w:pPr>
            <w:r>
              <w:rPr>
                <w:b/>
                <w:color w:val="FFFFFF"/>
              </w:rPr>
              <w:t xml:space="preserve">Gap</w:t>
            </w:r>
          </w:p>
        </w:tc>
        <w:tc>
          <w:tcPr>
            <w:shd w:val="clear" w:color="auto" w:fill="1E60AE"/>
          </w:tcPr>
          <w:p>
            <w:pPr>
              <w:pStyle w:val="Compact"/>
              <w:jc w:val="left"/>
            </w:pPr>
            <w:r>
              <w:rPr>
                <w:b/>
                <w:color w:val="FFFFFF"/>
              </w:rPr>
              <w:t xml:space="preserve">Closed by</w:t>
            </w:r>
          </w:p>
        </w:tc>
      </w:tr>
      <w:tr>
        <w:tc>
          <w:tcPr/>
          <w:p>
            <w:pPr>
              <w:pStyle w:val="Compact"/>
              <w:jc w:val="left"/>
            </w:pPr>
            <w:r>
              <w:t xml:space="preserve">G1 Universe governance</w:t>
            </w:r>
          </w:p>
        </w:tc>
        <w:tc>
          <w:tcPr/>
          <w:p>
            <w:pPr>
              <w:pStyle w:val="Compact"/>
              <w:jc w:val="left"/>
            </w:pPr>
            <w:r>
              <w:t xml:space="preserve">Audit universe app with owners, risk ratings and coverage history</w:t>
            </w:r>
          </w:p>
        </w:tc>
      </w:tr>
      <w:tr>
        <w:tc>
          <w:tcPr/>
          <w:p>
            <w:pPr>
              <w:pStyle w:val="Compact"/>
              <w:jc w:val="left"/>
            </w:pPr>
            <w:r>
              <w:t xml:space="preserve">G2 One lifecycle</w:t>
            </w:r>
          </w:p>
        </w:tc>
        <w:tc>
          <w:tcPr/>
          <w:p>
            <w:pPr>
              <w:pStyle w:val="Compact"/>
              <w:jc w:val="left"/>
            </w:pPr>
            <w:r>
              <w:t xml:space="preserve">One common lifecycle and status flows for all units and ports</w:t>
            </w:r>
          </w:p>
        </w:tc>
      </w:tr>
      <w:tr>
        <w:tc>
          <w:tcPr/>
          <w:p>
            <w:pPr>
              <w:pStyle w:val="Compact"/>
              <w:jc w:val="left"/>
            </w:pPr>
            <w:r>
              <w:t xml:space="preserve">G3 Risk method</w:t>
            </w:r>
          </w:p>
        </w:tc>
        <w:tc>
          <w:tcPr/>
          <w:p>
            <w:pPr>
              <w:pStyle w:val="Compact"/>
              <w:jc w:val="left"/>
            </w:pPr>
            <w:r>
              <w:t xml:space="preserve">Configurable 5 × 5 scoring used in the universe, risk register and plan</w:t>
            </w:r>
          </w:p>
        </w:tc>
      </w:tr>
      <w:tr>
        <w:tc>
          <w:tcPr/>
          <w:p>
            <w:pPr>
              <w:pStyle w:val="Compact"/>
              <w:jc w:val="left"/>
            </w:pPr>
            <w:r>
              <w:t xml:space="preserve">G4 Exit meeting</w:t>
            </w:r>
          </w:p>
        </w:tc>
        <w:tc>
          <w:tcPr/>
          <w:p>
            <w:pPr>
              <w:pStyle w:val="Compact"/>
              <w:jc w:val="left"/>
            </w:pPr>
            <w:r>
              <w:t xml:space="preserve">Exit meeting recorded on the audit before report issue</w:t>
            </w:r>
          </w:p>
        </w:tc>
      </w:tr>
      <w:tr>
        <w:tc>
          <w:tcPr/>
          <w:p>
            <w:pPr>
              <w:pStyle w:val="Compact"/>
              <w:jc w:val="left"/>
            </w:pPr>
            <w:r>
              <w:t xml:space="preserve">G5 Follow-up governance</w:t>
            </w:r>
          </w:p>
        </w:tc>
        <w:tc>
          <w:tcPr/>
          <w:p>
            <w:pPr>
              <w:pStyle w:val="Compact"/>
              <w:jc w:val="left"/>
            </w:pPr>
            <w:r>
              <w:t xml:space="preserve">Remediation &amp; Follow-up with verification, reminders, escalation and Committee reporting</w:t>
            </w:r>
          </w:p>
        </w:tc>
      </w:tr>
      <w:tr>
        <w:tc>
          <w:tcPr/>
          <w:p>
            <w:pPr>
              <w:pStyle w:val="Compact"/>
              <w:jc w:val="left"/>
            </w:pPr>
            <w:r>
              <w:t xml:space="preserve">G6 Evidence governance</w:t>
            </w:r>
          </w:p>
        </w:tc>
        <w:tc>
          <w:tcPr/>
          <w:p>
            <w:pPr>
              <w:pStyle w:val="Compact"/>
              <w:jc w:val="left"/>
            </w:pPr>
            <w:r>
              <w:t xml:space="preserve">Requests with acceptance, encrypted storage, audit trail, no deletion of signed work</w:t>
            </w:r>
          </w:p>
        </w:tc>
      </w:tr>
      <w:tr>
        <w:tc>
          <w:tcPr/>
          <w:p>
            <w:pPr>
              <w:pStyle w:val="Compact"/>
              <w:jc w:val="left"/>
            </w:pPr>
            <w:r>
              <w:t xml:space="preserve">G7 Feedback loop</w:t>
            </w:r>
          </w:p>
        </w:tc>
        <w:tc>
          <w:tcPr/>
          <w:p>
            <w:pPr>
              <w:pStyle w:val="Compact"/>
              <w:jc w:val="left"/>
            </w:pPr>
            <w:r>
              <w:t xml:space="preserve">Open and recurring issues feed the universe and the next risk assessment</w:t>
            </w:r>
          </w:p>
        </w:tc>
      </w:tr>
    </w:tbl>
    <w:bookmarkEnd w:id="46"/>
    <w:bookmarkStart w:id="47" w:name="X1ad0e024873f052e4b7c3132964b7b6942f3c94"/>
    <w:p>
      <w:pPr>
        <w:pStyle w:val="Heading2"/>
      </w:pPr>
      <w:r>
        <w:t xml:space="preserve">7.2 Decisions GPHA must take before production</w:t>
      </w:r>
    </w:p>
    <w:p>
      <w:pPr>
        <w:pStyle w:val="FirstParagraph"/>
      </w:pPr>
      <w:r>
        <w:t xml:space="preserve">The system has working defaults for each item, but each needs a formal decision (recorded with date, decision-maker and memo or minute reference).</w:t>
      </w:r>
    </w:p>
    <w:tbl>
      <w:tblPr>
        <w:tblStyle w:val="Table"/>
        <w:tblW w:type="pct" w:w="5000"/>
        <w:tblLook w:firstRow="1" w:lastRow="0" w:firstColumn="0" w:lastColumn="0" w:noHBand="0" w:noVBand="0" w:val="0020"/>
        <w:jc w:val="start"/>
      </w:tblPr>
      <w:tblGrid>
        <w:gridCol w:w="708"/>
        <w:gridCol w:w="2897"/>
        <w:gridCol w:w="2897"/>
        <w:gridCol w:w="1416"/>
      </w:tblGrid>
      <w:tr>
        <w:trPr>
          <w:tblHeader w:val="true"/>
          <w:tblHeader w:val="true"/>
        </w:trPr>
        <w:tc>
          <w:tcPr>
            <w:shd w:val="clear" w:color="auto" w:fill="1E60AE"/>
          </w:tcPr>
          <w:p>
            <w:pPr>
              <w:pStyle w:val="Compact"/>
              <w:jc w:val="left"/>
            </w:pPr>
            <w:r>
              <w:rPr>
                <w:b/>
                <w:color w:val="FFFFFF"/>
              </w:rPr>
              <w:t xml:space="preserve">#</w:t>
            </w:r>
          </w:p>
        </w:tc>
        <w:tc>
          <w:tcPr>
            <w:shd w:val="clear" w:color="auto" w:fill="1E60AE"/>
          </w:tcPr>
          <w:p>
            <w:pPr>
              <w:pStyle w:val="Compact"/>
              <w:jc w:val="left"/>
            </w:pPr>
            <w:r>
              <w:rPr>
                <w:b/>
                <w:color w:val="FFFFFF"/>
              </w:rPr>
              <w:t xml:space="preserve">Decision</w:t>
            </w:r>
          </w:p>
        </w:tc>
        <w:tc>
          <w:tcPr>
            <w:shd w:val="clear" w:color="auto" w:fill="1E60AE"/>
          </w:tcPr>
          <w:p>
            <w:pPr>
              <w:pStyle w:val="Compact"/>
              <w:jc w:val="left"/>
            </w:pPr>
            <w:r>
              <w:rPr>
                <w:b/>
                <w:color w:val="FFFFFF"/>
              </w:rPr>
              <w:t xml:space="preserve">Default in GIAW</w:t>
            </w:r>
          </w:p>
        </w:tc>
        <w:tc>
          <w:tcPr>
            <w:shd w:val="clear" w:color="auto" w:fill="1E60AE"/>
          </w:tcPr>
          <w:p>
            <w:pPr>
              <w:pStyle w:val="Compact"/>
              <w:jc w:val="left"/>
            </w:pPr>
            <w:r>
              <w:rPr>
                <w:b/>
                <w:color w:val="FFFFFF"/>
              </w:rPr>
              <w:t xml:space="preserve">Decided by</w:t>
            </w:r>
          </w:p>
        </w:tc>
      </w:tr>
      <w:tr>
        <w:tc>
          <w:tcPr/>
          <w:p>
            <w:pPr>
              <w:pStyle w:val="Compact"/>
              <w:jc w:val="left"/>
            </w:pPr>
            <w:r>
              <w:t xml:space="preserve">D1</w:t>
            </w:r>
          </w:p>
        </w:tc>
        <w:tc>
          <w:tcPr/>
          <w:p>
            <w:pPr>
              <w:pStyle w:val="Compact"/>
              <w:jc w:val="left"/>
            </w:pPr>
            <w:r>
              <w:t xml:space="preserve">Official HQ / Tema / Takoradi hierarchy and organisation data</w:t>
            </w:r>
          </w:p>
        </w:tc>
        <w:tc>
          <w:tcPr/>
          <w:p>
            <w:pPr>
              <w:pStyle w:val="Compact"/>
              <w:jc w:val="left"/>
            </w:pPr>
            <w:r>
              <w:t xml:space="preserve">Configurable entity types</w:t>
            </w:r>
          </w:p>
        </w:tc>
        <w:tc>
          <w:tcPr/>
          <w:p>
            <w:pPr>
              <w:pStyle w:val="Compact"/>
              <w:jc w:val="left"/>
            </w:pPr>
            <w:r>
              <w:t xml:space="preserve">GM Audit</w:t>
            </w:r>
          </w:p>
        </w:tc>
      </w:tr>
      <w:tr>
        <w:tc>
          <w:tcPr/>
          <w:p>
            <w:pPr>
              <w:pStyle w:val="Compact"/>
              <w:jc w:val="left"/>
            </w:pPr>
            <w:r>
              <w:t xml:space="preserve">D2</w:t>
            </w:r>
          </w:p>
        </w:tc>
        <w:tc>
          <w:tcPr/>
          <w:p>
            <w:pPr>
              <w:pStyle w:val="Compact"/>
              <w:jc w:val="left"/>
            </w:pPr>
            <w:r>
              <w:t xml:space="preserve">Roles, delegated approval authority, separation of duties</w:t>
            </w:r>
          </w:p>
        </w:tc>
        <w:tc>
          <w:tcPr/>
          <w:p>
            <w:pPr>
              <w:pStyle w:val="Compact"/>
              <w:jc w:val="left"/>
            </w:pPr>
            <w:r>
              <w:t xml:space="preserve">5 job roles; review levels Unit Head, Manager, PIA, CAE</w:t>
            </w:r>
          </w:p>
        </w:tc>
        <w:tc>
          <w:tcPr/>
          <w:p>
            <w:pPr>
              <w:pStyle w:val="Compact"/>
              <w:jc w:val="left"/>
            </w:pPr>
            <w:r>
              <w:t xml:space="preserve">GM Audit</w:t>
            </w:r>
          </w:p>
        </w:tc>
      </w:tr>
      <w:tr>
        <w:tc>
          <w:tcPr/>
          <w:p>
            <w:pPr>
              <w:pStyle w:val="Compact"/>
              <w:jc w:val="left"/>
            </w:pPr>
            <w:r>
              <w:t xml:space="preserve">D3</w:t>
            </w:r>
          </w:p>
        </w:tc>
        <w:tc>
          <w:tcPr/>
          <w:p>
            <w:pPr>
              <w:pStyle w:val="Compact"/>
              <w:jc w:val="left"/>
            </w:pPr>
            <w:r>
              <w:t xml:space="preserve">Recording of Audit Committee approval and plan distribution</w:t>
            </w:r>
          </w:p>
        </w:tc>
        <w:tc>
          <w:tcPr/>
          <w:p>
            <w:pPr>
              <w:pStyle w:val="Compact"/>
              <w:jc w:val="left"/>
            </w:pPr>
            <w:r>
              <w:t xml:space="preserve">Decision recorded on plan; GM Audit distributes</w:t>
            </w:r>
          </w:p>
        </w:tc>
        <w:tc>
          <w:tcPr/>
          <w:p>
            <w:pPr>
              <w:pStyle w:val="Compact"/>
              <w:jc w:val="left"/>
            </w:pPr>
            <w:r>
              <w:t xml:space="preserve">GM Audit / Committee</w:t>
            </w:r>
          </w:p>
        </w:tc>
      </w:tr>
      <w:tr>
        <w:tc>
          <w:tcPr/>
          <w:p>
            <w:pPr>
              <w:pStyle w:val="Compact"/>
              <w:jc w:val="left"/>
            </w:pPr>
            <w:r>
              <w:t xml:space="preserve">D4</w:t>
            </w:r>
          </w:p>
        </w:tc>
        <w:tc>
          <w:tcPr/>
          <w:p>
            <w:pPr>
              <w:pStyle w:val="Compact"/>
              <w:jc w:val="left"/>
            </w:pPr>
            <w:r>
              <w:t xml:space="preserve">Risk scoring scales and thresholds</w:t>
            </w:r>
          </w:p>
        </w:tc>
        <w:tc>
          <w:tcPr/>
          <w:p>
            <w:pPr>
              <w:pStyle w:val="Compact"/>
              <w:jc w:val="left"/>
            </w:pPr>
            <w:r>
              <w:t xml:space="preserve">5 × 5, thresholds configurable</w:t>
            </w:r>
          </w:p>
        </w:tc>
        <w:tc>
          <w:tcPr/>
          <w:p>
            <w:pPr>
              <w:pStyle w:val="Compact"/>
              <w:jc w:val="left"/>
            </w:pPr>
            <w:r>
              <w:t xml:space="preserve">GM Audit</w:t>
            </w:r>
          </w:p>
        </w:tc>
      </w:tr>
      <w:tr>
        <w:tc>
          <w:tcPr/>
          <w:p>
            <w:pPr>
              <w:pStyle w:val="Compact"/>
              <w:jc w:val="left"/>
            </w:pPr>
            <w:r>
              <w:t xml:space="preserve">D5</w:t>
            </w:r>
          </w:p>
        </w:tc>
        <w:tc>
          <w:tcPr/>
          <w:p>
            <w:pPr>
              <w:pStyle w:val="Compact"/>
              <w:jc w:val="left"/>
            </w:pPr>
            <w:r>
              <w:t xml:space="preserve">Fiscal year and planning calendar</w:t>
            </w:r>
          </w:p>
        </w:tc>
        <w:tc>
          <w:tcPr/>
          <w:p>
            <w:pPr>
              <w:pStyle w:val="Compact"/>
              <w:jc w:val="left"/>
            </w:pPr>
            <w:r>
              <w:t xml:space="preserve">Configurable</w:t>
            </w:r>
          </w:p>
        </w:tc>
        <w:tc>
          <w:tcPr/>
          <w:p>
            <w:pPr>
              <w:pStyle w:val="Compact"/>
              <w:jc w:val="left"/>
            </w:pPr>
            <w:r>
              <w:t xml:space="preserve">GM Audit / Finance</w:t>
            </w:r>
          </w:p>
        </w:tc>
      </w:tr>
      <w:tr>
        <w:tc>
          <w:tcPr/>
          <w:p>
            <w:pPr>
              <w:pStyle w:val="Compact"/>
              <w:jc w:val="left"/>
            </w:pPr>
            <w:r>
              <w:t xml:space="preserve">D6</w:t>
            </w:r>
          </w:p>
        </w:tc>
        <w:tc>
          <w:tcPr/>
          <w:p>
            <w:pPr>
              <w:pStyle w:val="Compact"/>
              <w:jc w:val="left"/>
            </w:pPr>
            <w:r>
              <w:t xml:space="preserve">Engagement types and report templates</w:t>
            </w:r>
          </w:p>
        </w:tc>
        <w:tc>
          <w:tcPr/>
          <w:p>
            <w:pPr>
              <w:pStyle w:val="Compact"/>
              <w:jc w:val="left"/>
            </w:pPr>
            <w:r>
              <w:t xml:space="preserve">Default types; Word templates</w:t>
            </w:r>
          </w:p>
        </w:tc>
        <w:tc>
          <w:tcPr/>
          <w:p>
            <w:pPr>
              <w:pStyle w:val="Compact"/>
              <w:jc w:val="left"/>
            </w:pPr>
            <w:r>
              <w:t xml:space="preserve">GM Audit</w:t>
            </w:r>
          </w:p>
        </w:tc>
      </w:tr>
      <w:tr>
        <w:tc>
          <w:tcPr/>
          <w:p>
            <w:pPr>
              <w:pStyle w:val="Compact"/>
              <w:jc w:val="left"/>
            </w:pPr>
            <w:r>
              <w:t xml:space="preserve">D7</w:t>
            </w:r>
          </w:p>
        </w:tc>
        <w:tc>
          <w:tcPr/>
          <w:p>
            <w:pPr>
              <w:pStyle w:val="Compact"/>
              <w:jc w:val="left"/>
            </w:pPr>
            <w:r>
              <w:t xml:space="preserve">Confidentiality classes and auditee access</w:t>
            </w:r>
          </w:p>
        </w:tc>
        <w:tc>
          <w:tcPr/>
          <w:p>
            <w:pPr>
              <w:pStyle w:val="Compact"/>
              <w:jc w:val="left"/>
            </w:pPr>
            <w:r>
              <w:t xml:space="preserve">Public / Internal / Confidential / Restricted; auditees see only their own items</w:t>
            </w:r>
          </w:p>
        </w:tc>
        <w:tc>
          <w:tcPr/>
          <w:p>
            <w:pPr>
              <w:pStyle w:val="Compact"/>
              <w:jc w:val="left"/>
            </w:pPr>
            <w:r>
              <w:t xml:space="preserve">GM Audit / Legal</w:t>
            </w:r>
          </w:p>
        </w:tc>
      </w:tr>
      <w:tr>
        <w:tc>
          <w:tcPr/>
          <w:p>
            <w:pPr>
              <w:pStyle w:val="Compact"/>
              <w:jc w:val="left"/>
            </w:pPr>
            <w:r>
              <w:t xml:space="preserve">D8</w:t>
            </w:r>
          </w:p>
        </w:tc>
        <w:tc>
          <w:tcPr/>
          <w:p>
            <w:pPr>
              <w:pStyle w:val="Compact"/>
              <w:jc w:val="left"/>
            </w:pPr>
            <w:r>
              <w:t xml:space="preserve">Retention, legal hold and disposal</w:t>
            </w:r>
          </w:p>
        </w:tc>
        <w:tc>
          <w:tcPr/>
          <w:p>
            <w:pPr>
              <w:pStyle w:val="Compact"/>
              <w:jc w:val="left"/>
            </w:pPr>
            <w:r>
              <w:t xml:space="preserve">Configurable number of years</w:t>
            </w:r>
          </w:p>
        </w:tc>
        <w:tc>
          <w:tcPr/>
          <w:p>
            <w:pPr>
              <w:pStyle w:val="Compact"/>
              <w:jc w:val="left"/>
            </w:pPr>
            <w:r>
              <w:t xml:space="preserve">Legal / Records</w:t>
            </w:r>
          </w:p>
        </w:tc>
      </w:tr>
      <w:tr>
        <w:tc>
          <w:tcPr/>
          <w:p>
            <w:pPr>
              <w:pStyle w:val="Compact"/>
              <w:jc w:val="left"/>
            </w:pPr>
            <w:r>
              <w:t xml:space="preserve">D9</w:t>
            </w:r>
          </w:p>
        </w:tc>
        <w:tc>
          <w:tcPr/>
          <w:p>
            <w:pPr>
              <w:pStyle w:val="Compact"/>
              <w:jc w:val="left"/>
            </w:pPr>
            <w:r>
              <w:t xml:space="preserve">Hosting, sign-in (Active Directory), e-mail relay, recovery objectives</w:t>
            </w:r>
          </w:p>
        </w:tc>
        <w:tc>
          <w:tcPr/>
          <w:p>
            <w:pPr>
              <w:pStyle w:val="Compact"/>
              <w:jc w:val="left"/>
            </w:pPr>
            <w:r>
              <w:t xml:space="preserve">GPHA Windows server; local accounts or AD</w:t>
            </w:r>
          </w:p>
        </w:tc>
        <w:tc>
          <w:tcPr/>
          <w:p>
            <w:pPr>
              <w:pStyle w:val="Compact"/>
              <w:jc w:val="left"/>
            </w:pPr>
            <w:r>
              <w:t xml:space="preserve">IT / GM Audit</w:t>
            </w:r>
          </w:p>
        </w:tc>
      </w:tr>
      <w:tr>
        <w:tc>
          <w:tcPr/>
          <w:p>
            <w:pPr>
              <w:pStyle w:val="Compact"/>
              <w:jc w:val="left"/>
            </w:pPr>
            <w:r>
              <w:t xml:space="preserve">D10</w:t>
            </w:r>
          </w:p>
        </w:tc>
        <w:tc>
          <w:tcPr/>
          <w:p>
            <w:pPr>
              <w:pStyle w:val="Compact"/>
              <w:jc w:val="left"/>
            </w:pPr>
            <w:r>
              <w:t xml:space="preserve">Data to migrate and quality rules</w:t>
            </w:r>
          </w:p>
        </w:tc>
        <w:tc>
          <w:tcPr/>
          <w:p>
            <w:pPr>
              <w:pStyle w:val="Compact"/>
              <w:jc w:val="left"/>
            </w:pPr>
            <w:r>
              <w:t xml:space="preserve">Current plan, open audits and findings</w:t>
            </w:r>
          </w:p>
        </w:tc>
        <w:tc>
          <w:tcPr/>
          <w:p>
            <w:pPr>
              <w:pStyle w:val="Compact"/>
              <w:jc w:val="left"/>
            </w:pPr>
            <w:r>
              <w:t xml:space="preserve">System owner</w:t>
            </w:r>
          </w:p>
        </w:tc>
      </w:tr>
      <w:tr>
        <w:tc>
          <w:tcPr/>
          <w:p>
            <w:pPr>
              <w:pStyle w:val="Compact"/>
              <w:jc w:val="left"/>
            </w:pPr>
            <w:r>
              <w:t xml:space="preserve">D11</w:t>
            </w:r>
          </w:p>
        </w:tc>
        <w:tc>
          <w:tcPr/>
          <w:p>
            <w:pPr>
              <w:pStyle w:val="Compact"/>
              <w:jc w:val="left"/>
            </w:pPr>
            <w:r>
              <w:t xml:space="preserve">Integrations and AI use</w:t>
            </w:r>
          </w:p>
        </w:tc>
        <w:tc>
          <w:tcPr/>
          <w:p>
            <w:pPr>
              <w:pStyle w:val="Compact"/>
              <w:jc w:val="left"/>
            </w:pPr>
            <w:r>
              <w:t xml:space="preserve">AI off; no live integrations</w:t>
            </w:r>
          </w:p>
        </w:tc>
        <w:tc>
          <w:tcPr/>
          <w:p>
            <w:pPr>
              <w:pStyle w:val="Compact"/>
              <w:jc w:val="left"/>
            </w:pPr>
            <w:r>
              <w:t xml:space="preserve">GM Audit / IT Security</w:t>
            </w:r>
          </w:p>
        </w:tc>
      </w:tr>
      <w:tr>
        <w:tc>
          <w:tcPr/>
          <w:p>
            <w:pPr>
              <w:pStyle w:val="Compact"/>
              <w:jc w:val="left"/>
            </w:pPr>
            <w:r>
              <w:t xml:space="preserve">D12</w:t>
            </w:r>
          </w:p>
        </w:tc>
        <w:tc>
          <w:tcPr/>
          <w:p>
            <w:pPr>
              <w:pStyle w:val="Compact"/>
              <w:jc w:val="left"/>
            </w:pPr>
            <w:r>
              <w:t xml:space="preserve">UAT sign-off owners and support contacts</w:t>
            </w:r>
          </w:p>
        </w:tc>
        <w:tc>
          <w:tcPr/>
          <w:p>
            <w:pPr>
              <w:pStyle w:val="Compact"/>
              <w:jc w:val="left"/>
            </w:pPr>
            <w:r>
              <w:t xml:space="preserve">–</w:t>
            </w:r>
          </w:p>
        </w:tc>
        <w:tc>
          <w:tcPr/>
          <w:p>
            <w:pPr>
              <w:pStyle w:val="Compact"/>
              <w:jc w:val="left"/>
            </w:pPr>
            <w:r>
              <w:t xml:space="preserve">Sponsor</w:t>
            </w:r>
          </w:p>
        </w:tc>
      </w:tr>
      <w:tr>
        <w:tc>
          <w:tcPr/>
          <w:p>
            <w:pPr>
              <w:pStyle w:val="Compact"/>
              <w:jc w:val="left"/>
            </w:pPr>
            <w:r>
              <w:t xml:space="preserve">D13</w:t>
            </w:r>
          </w:p>
        </w:tc>
        <w:tc>
          <w:tcPr/>
          <w:p>
            <w:pPr>
              <w:pStyle w:val="Compact"/>
              <w:jc w:val="left"/>
            </w:pPr>
            <w:r>
              <w:t xml:space="preserve">Read-only accounts for Audit Committee members</w:t>
            </w:r>
          </w:p>
        </w:tc>
        <w:tc>
          <w:tcPr/>
          <w:p>
            <w:pPr>
              <w:pStyle w:val="Compact"/>
              <w:jc w:val="left"/>
            </w:pPr>
            <w:r>
              <w:t xml:space="preserve">Not available yet</w:t>
            </w:r>
          </w:p>
        </w:tc>
        <w:tc>
          <w:tcPr/>
          <w:p>
            <w:pPr>
              <w:pStyle w:val="Compact"/>
              <w:jc w:val="left"/>
            </w:pPr>
            <w:r>
              <w:t xml:space="preserve">GM Audit</w:t>
            </w:r>
          </w:p>
        </w:tc>
      </w:tr>
      <w:tr>
        <w:tc>
          <w:tcPr/>
          <w:p>
            <w:pPr>
              <w:pStyle w:val="Compact"/>
              <w:jc w:val="left"/>
            </w:pPr>
            <w:r>
              <w:t xml:space="preserve">D14</w:t>
            </w:r>
          </w:p>
        </w:tc>
        <w:tc>
          <w:tcPr/>
          <w:p>
            <w:pPr>
              <w:pStyle w:val="Compact"/>
              <w:jc w:val="left"/>
            </w:pPr>
            <w:r>
              <w:t xml:space="preserve">Rule when two people edit the same record</w:t>
            </w:r>
          </w:p>
        </w:tc>
        <w:tc>
          <w:tcPr/>
          <w:p>
            <w:pPr>
              <w:pStyle w:val="Compact"/>
              <w:jc w:val="left"/>
            </w:pPr>
            <w:r>
              <w:t xml:space="preserve">Fix planned (stale save rejected)</w:t>
            </w:r>
          </w:p>
        </w:tc>
        <w:tc>
          <w:tcPr/>
          <w:p>
            <w:pPr>
              <w:pStyle w:val="Compact"/>
              <w:jc w:val="left"/>
            </w:pPr>
            <w:r>
              <w:t xml:space="preserve">System owner</w:t>
            </w:r>
          </w:p>
        </w:tc>
      </w:tr>
      <w:tr>
        <w:tc>
          <w:tcPr/>
          <w:p>
            <w:pPr>
              <w:pStyle w:val="Compact"/>
              <w:jc w:val="left"/>
            </w:pPr>
            <w:r>
              <w:t xml:space="preserve">D15</w:t>
            </w:r>
          </w:p>
        </w:tc>
        <w:tc>
          <w:tcPr/>
          <w:p>
            <w:pPr>
              <w:pStyle w:val="Compact"/>
              <w:jc w:val="left"/>
            </w:pPr>
            <w:r>
              <w:t xml:space="preserve">Is full third-party risk management in scope?</w:t>
            </w:r>
          </w:p>
        </w:tc>
        <w:tc>
          <w:tcPr/>
          <w:p>
            <w:pPr>
              <w:pStyle w:val="Compact"/>
              <w:jc w:val="left"/>
            </w:pPr>
            <w:r>
              <w:t xml:space="preserve">Basic third-party register</w:t>
            </w:r>
          </w:p>
        </w:tc>
        <w:tc>
          <w:tcPr/>
          <w:p>
            <w:pPr>
              <w:pStyle w:val="Compact"/>
              <w:jc w:val="left"/>
            </w:pPr>
            <w:r>
              <w:t xml:space="preserve">GM Audit</w:t>
            </w:r>
          </w:p>
        </w:tc>
      </w:tr>
      <w:tr>
        <w:tc>
          <w:tcPr/>
          <w:p>
            <w:pPr>
              <w:pStyle w:val="Compact"/>
              <w:jc w:val="left"/>
            </w:pPr>
            <w:r>
              <w:t xml:space="preserve">D16</w:t>
            </w:r>
          </w:p>
        </w:tc>
        <w:tc>
          <w:tcPr/>
          <w:p>
            <w:pPr>
              <w:pStyle w:val="Compact"/>
              <w:jc w:val="left"/>
            </w:pPr>
            <w:r>
              <w:t xml:space="preserve">Sign-off levels and password confirmation on sign-off</w:t>
            </w:r>
          </w:p>
        </w:tc>
        <w:tc>
          <w:tcPr/>
          <w:p>
            <w:pPr>
              <w:pStyle w:val="Compact"/>
              <w:jc w:val="left"/>
            </w:pPr>
            <w:r>
              <w:t xml:space="preserve">Five levels; password optional</w:t>
            </w:r>
          </w:p>
        </w:tc>
        <w:tc>
          <w:tcPr/>
          <w:p>
            <w:pPr>
              <w:pStyle w:val="Compact"/>
              <w:jc w:val="left"/>
            </w:pPr>
            <w:r>
              <w:t xml:space="preserve">GM Audit</w:t>
            </w:r>
          </w:p>
        </w:tc>
      </w:tr>
    </w:tbl>
    <w:bookmarkEnd w:id="47"/>
    <w:bookmarkEnd w:id="48"/>
    <w:bookmarkStart w:id="56" w:name="system-overview"/>
    <w:p>
      <w:pPr>
        <w:pStyle w:val="Heading1"/>
      </w:pPr>
      <w:r>
        <w:t xml:space="preserve">8. System overview</w:t>
      </w:r>
    </w:p>
    <w:bookmarkStart w:id="49" w:name="apps-31-apps-shown-by-area"/>
    <w:p>
      <w:pPr>
        <w:pStyle w:val="Heading2"/>
      </w:pPr>
      <w:r>
        <w:t xml:space="preserve">8.1 Apps (31 apps, shown by area)</w:t>
      </w:r>
    </w:p>
    <w:tbl>
      <w:tblPr>
        <w:tblStyle w:val="Table"/>
        <w:tblW w:type="pct" w:w="5000"/>
        <w:tblLook w:firstRow="1" w:lastRow="0" w:firstColumn="0" w:lastColumn="0" w:noHBand="0" w:noVBand="0" w:val="0020"/>
        <w:jc w:val="start"/>
      </w:tblPr>
      <w:tblGrid>
        <w:gridCol w:w="2678"/>
        <w:gridCol w:w="5241"/>
      </w:tblGrid>
      <w:tr>
        <w:trPr>
          <w:tblHeader w:val="true"/>
          <w:tblHeader w:val="true"/>
        </w:trPr>
        <w:tc>
          <w:tcPr>
            <w:shd w:val="clear" w:color="auto" w:fill="1E60AE"/>
          </w:tcPr>
          <w:p>
            <w:pPr>
              <w:pStyle w:val="Compact"/>
              <w:jc w:val="left"/>
            </w:pPr>
            <w:r>
              <w:rPr>
                <w:b/>
                <w:color w:val="FFFFFF"/>
              </w:rPr>
              <w:t xml:space="preserve">Group</w:t>
            </w:r>
          </w:p>
        </w:tc>
        <w:tc>
          <w:tcPr>
            <w:shd w:val="clear" w:color="auto" w:fill="1E60AE"/>
          </w:tcPr>
          <w:p>
            <w:pPr>
              <w:pStyle w:val="Compact"/>
              <w:jc w:val="left"/>
            </w:pPr>
            <w:r>
              <w:rPr>
                <w:b/>
                <w:color w:val="FFFFFF"/>
              </w:rPr>
              <w:t xml:space="preserve">Apps</w:t>
            </w:r>
          </w:p>
        </w:tc>
      </w:tr>
      <w:tr>
        <w:tc>
          <w:tcPr/>
          <w:p>
            <w:pPr>
              <w:pStyle w:val="Compact"/>
              <w:jc w:val="left"/>
            </w:pPr>
            <w:r>
              <w:t xml:space="preserve">Home</w:t>
            </w:r>
          </w:p>
        </w:tc>
        <w:tc>
          <w:tcPr/>
          <w:p>
            <w:pPr>
              <w:pStyle w:val="Compact"/>
              <w:jc w:val="left"/>
            </w:pPr>
            <w:r>
              <w:t xml:space="preserve">Workspace Apps, My Drafts</w:t>
            </w:r>
          </w:p>
        </w:tc>
      </w:tr>
      <w:tr>
        <w:tc>
          <w:tcPr/>
          <w:p>
            <w:pPr>
              <w:pStyle w:val="Compact"/>
              <w:jc w:val="left"/>
            </w:pPr>
            <w:r>
              <w:t xml:space="preserve">Audit management</w:t>
            </w:r>
          </w:p>
        </w:tc>
        <w:tc>
          <w:tcPr/>
          <w:p>
            <w:pPr>
              <w:pStyle w:val="Compact"/>
              <w:jc w:val="left"/>
            </w:pPr>
            <w:r>
              <w:t xml:space="preserve">Audit universe, Assurance Plans, Audits, Project Library, Task Tracker, Requests, Remediation &amp; Follow-up</w:t>
            </w:r>
          </w:p>
        </w:tc>
      </w:tr>
      <w:tr>
        <w:tc>
          <w:tcPr/>
          <w:p>
            <w:pPr>
              <w:pStyle w:val="Compact"/>
              <w:jc w:val="left"/>
            </w:pPr>
            <w:r>
              <w:t xml:space="preserve">Resources</w:t>
            </w:r>
          </w:p>
        </w:tc>
        <w:tc>
          <w:tcPr/>
          <w:p>
            <w:pPr>
              <w:pStyle w:val="Compact"/>
              <w:jc w:val="left"/>
            </w:pPr>
            <w:r>
              <w:t xml:space="preserve">Scheduler, Timesheets &amp; capacity, Professional practice</w:t>
            </w:r>
          </w:p>
        </w:tc>
      </w:tr>
      <w:tr>
        <w:tc>
          <w:tcPr/>
          <w:p>
            <w:pPr>
              <w:pStyle w:val="Compact"/>
              <w:jc w:val="left"/>
            </w:pPr>
            <w:r>
              <w:t xml:space="preserve">Risk and compliance</w:t>
            </w:r>
          </w:p>
        </w:tc>
        <w:tc>
          <w:tcPr/>
          <w:p>
            <w:pPr>
              <w:pStyle w:val="Compact"/>
              <w:jc w:val="left"/>
            </w:pPr>
            <w:r>
              <w:t xml:space="preserve">Risk Manager, Asset Inventory, Frameworks, Compliance Maps, Policy Manager, Nonconformance</w:t>
            </w:r>
          </w:p>
        </w:tc>
      </w:tr>
      <w:tr>
        <w:tc>
          <w:tcPr/>
          <w:p>
            <w:pPr>
              <w:pStyle w:val="Compact"/>
              <w:jc w:val="left"/>
            </w:pPr>
            <w:r>
              <w:t xml:space="preserve">Reporting and analytics</w:t>
            </w:r>
          </w:p>
        </w:tc>
        <w:tc>
          <w:tcPr/>
          <w:p>
            <w:pPr>
              <w:pStyle w:val="Compact"/>
              <w:jc w:val="left"/>
            </w:pPr>
            <w:r>
              <w:t xml:space="preserve">Analytics, Audit Committee, Governance portal, Port portfolio, Quality (QAIP), Results, Storyboards, Robots, Service Feedback</w:t>
            </w:r>
          </w:p>
        </w:tc>
      </w:tr>
      <w:tr>
        <w:tc>
          <w:tcPr/>
          <w:p>
            <w:pPr>
              <w:pStyle w:val="Compact"/>
              <w:jc w:val="left"/>
            </w:pPr>
            <w:r>
              <w:t xml:space="preserve">Settings and services</w:t>
            </w:r>
          </w:p>
        </w:tc>
        <w:tc>
          <w:tcPr/>
          <w:p>
            <w:pPr>
              <w:pStyle w:val="Compact"/>
              <w:jc w:val="left"/>
            </w:pPr>
            <w:r>
              <w:t xml:space="preserve">Organizations, Stakeholders, Automations, AI assistance (off)</w:t>
            </w:r>
          </w:p>
        </w:tc>
      </w:tr>
    </w:tbl>
    <w:p>
      <w:pPr>
        <w:pStyle w:val="BodyText"/>
      </w:pPr>
      <w:r>
        <w:t xml:space="preserve">Administrators also have Users, Roles &amp; permissions, Configuration (12 rule groups), Reference data, Backups and Logs.</w:t>
      </w:r>
    </w:p>
    <w:bookmarkEnd w:id="49"/>
    <w:bookmarkStart w:id="50" w:name="users-and-roles"/>
    <w:p>
      <w:pPr>
        <w:pStyle w:val="Heading2"/>
      </w:pPr>
      <w:r>
        <w:t xml:space="preserve">8.2 Users and roles</w:t>
      </w:r>
    </w:p>
    <w:tbl>
      <w:tblPr>
        <w:tblStyle w:val="Table"/>
        <w:tblW w:type="pct" w:w="5000"/>
        <w:tblLook w:firstRow="1" w:lastRow="0" w:firstColumn="0" w:lastColumn="0" w:noHBand="0" w:noVBand="0" w:val="0020"/>
        <w:jc w:val="start"/>
      </w:tblPr>
      <w:tblGrid>
        <w:gridCol w:w="1433"/>
        <w:gridCol w:w="3092"/>
        <w:gridCol w:w="3394"/>
      </w:tblGrid>
      <w:tr>
        <w:trPr>
          <w:tblHeader w:val="true"/>
          <w:tblHeader w:val="true"/>
        </w:trPr>
        <w:tc>
          <w:tcPr>
            <w:shd w:val="clear" w:color="auto" w:fill="1E60AE"/>
          </w:tcPr>
          <w:p>
            <w:pPr>
              <w:pStyle w:val="Compact"/>
              <w:jc w:val="left"/>
            </w:pPr>
            <w:r>
              <w:rPr>
                <w:b/>
                <w:color w:val="FFFFFF"/>
              </w:rPr>
              <w:t xml:space="preserve">Job role</w:t>
            </w:r>
          </w:p>
        </w:tc>
        <w:tc>
          <w:tcPr>
            <w:shd w:val="clear" w:color="auto" w:fill="1E60AE"/>
          </w:tcPr>
          <w:p>
            <w:pPr>
              <w:pStyle w:val="Compact"/>
              <w:jc w:val="left"/>
            </w:pPr>
            <w:r>
              <w:rPr>
                <w:b/>
                <w:color w:val="FFFFFF"/>
              </w:rPr>
              <w:t xml:space="preserve">Typical GPHA holder</w:t>
            </w:r>
          </w:p>
        </w:tc>
        <w:tc>
          <w:tcPr>
            <w:shd w:val="clear" w:color="auto" w:fill="1E60AE"/>
          </w:tcPr>
          <w:p>
            <w:pPr>
              <w:pStyle w:val="Compact"/>
              <w:jc w:val="left"/>
            </w:pPr>
            <w:r>
              <w:rPr>
                <w:b/>
                <w:color w:val="FFFFFF"/>
              </w:rPr>
              <w:t xml:space="preserve">Access</w:t>
            </w:r>
          </w:p>
        </w:tc>
      </w:tr>
      <w:tr>
        <w:tc>
          <w:tcPr/>
          <w:p>
            <w:pPr>
              <w:pStyle w:val="Compact"/>
              <w:jc w:val="left"/>
            </w:pPr>
            <w:r>
              <w:t xml:space="preserve">Super Administrator</w:t>
            </w:r>
          </w:p>
        </w:tc>
        <w:tc>
          <w:tcPr/>
          <w:p>
            <w:pPr>
              <w:pStyle w:val="Compact"/>
              <w:jc w:val="left"/>
            </w:pPr>
            <w:r>
              <w:t xml:space="preserve">Two named IA officers</w:t>
            </w:r>
          </w:p>
        </w:tc>
        <w:tc>
          <w:tcPr/>
          <w:p>
            <w:pPr>
              <w:pStyle w:val="Compact"/>
              <w:jc w:val="left"/>
            </w:pPr>
            <w:r>
              <w:t xml:space="preserve">Everything, including roles, permissions and app customisation</w:t>
            </w:r>
          </w:p>
        </w:tc>
      </w:tr>
      <w:tr>
        <w:tc>
          <w:tcPr/>
          <w:p>
            <w:pPr>
              <w:pStyle w:val="Compact"/>
              <w:jc w:val="left"/>
            </w:pPr>
            <w:r>
              <w:t xml:space="preserve">Administrator</w:t>
            </w:r>
          </w:p>
        </w:tc>
        <w:tc>
          <w:tcPr/>
          <w:p>
            <w:pPr>
              <w:pStyle w:val="Compact"/>
              <w:jc w:val="left"/>
            </w:pPr>
            <w:r>
              <w:t xml:space="preserve">IA / IT administrators</w:t>
            </w:r>
          </w:p>
        </w:tc>
        <w:tc>
          <w:tcPr/>
          <w:p>
            <w:pPr>
              <w:pStyle w:val="Compact"/>
              <w:jc w:val="left"/>
            </w:pPr>
            <w:r>
              <w:t xml:space="preserve">Users, configuration, reference data, backups, logs</w:t>
            </w:r>
          </w:p>
        </w:tc>
      </w:tr>
      <w:tr>
        <w:tc>
          <w:tcPr/>
          <w:p>
            <w:pPr>
              <w:pStyle w:val="Compact"/>
              <w:jc w:val="left"/>
            </w:pPr>
            <w:r>
              <w:t xml:space="preserve">Manager</w:t>
            </w:r>
          </w:p>
        </w:tc>
        <w:tc>
          <w:tcPr/>
          <w:p>
            <w:pPr>
              <w:pStyle w:val="Compact"/>
              <w:jc w:val="left"/>
            </w:pPr>
            <w:r>
              <w:t xml:space="preserve">GM Audit, PIA, Audit Managers, Unit Heads</w:t>
            </w:r>
          </w:p>
        </w:tc>
        <w:tc>
          <w:tcPr/>
          <w:p>
            <w:pPr>
              <w:pStyle w:val="Compact"/>
              <w:jc w:val="left"/>
            </w:pPr>
            <w:r>
              <w:t xml:space="preserve">Plan, assign, review, approve and report</w:t>
            </w:r>
          </w:p>
        </w:tc>
      </w:tr>
      <w:tr>
        <w:tc>
          <w:tcPr/>
          <w:p>
            <w:pPr>
              <w:pStyle w:val="Compact"/>
              <w:jc w:val="left"/>
            </w:pPr>
            <w:r>
              <w:t xml:space="preserve">Auditor</w:t>
            </w:r>
          </w:p>
        </w:tc>
        <w:tc>
          <w:tcPr/>
          <w:p>
            <w:pPr>
              <w:pStyle w:val="Compact"/>
              <w:jc w:val="left"/>
            </w:pPr>
            <w:r>
              <w:t xml:space="preserve">Unit auditors and officers</w:t>
            </w:r>
          </w:p>
        </w:tc>
        <w:tc>
          <w:tcPr/>
          <w:p>
            <w:pPr>
              <w:pStyle w:val="Compact"/>
              <w:jc w:val="left"/>
            </w:pPr>
            <w:r>
              <w:t xml:space="preserve">Perform assigned audits, working papers, findings, requests</w:t>
            </w:r>
          </w:p>
        </w:tc>
      </w:tr>
      <w:tr>
        <w:tc>
          <w:tcPr/>
          <w:p>
            <w:pPr>
              <w:pStyle w:val="Compact"/>
              <w:jc w:val="left"/>
            </w:pPr>
            <w:r>
              <w:t xml:space="preserve">Audit Client</w:t>
            </w:r>
          </w:p>
        </w:tc>
        <w:tc>
          <w:tcPr/>
          <w:p>
            <w:pPr>
              <w:pStyle w:val="Compact"/>
              <w:jc w:val="left"/>
            </w:pPr>
            <w:r>
              <w:t xml:space="preserve">Management and staff of audited units</w:t>
            </w:r>
          </w:p>
        </w:tc>
        <w:tc>
          <w:tcPr/>
          <w:p>
            <w:pPr>
              <w:pStyle w:val="Compact"/>
              <w:jc w:val="left"/>
            </w:pPr>
            <w:r>
              <w:t xml:space="preserve">Only their own requests, issues and actions</w:t>
            </w:r>
          </w:p>
        </w:tc>
      </w:tr>
    </w:tbl>
    <w:p>
      <w:pPr>
        <w:pStyle w:val="BodyText"/>
      </w:pPr>
      <w:r>
        <w:t xml:space="preserve">Access is controlled by</w:t>
      </w:r>
      <w:r>
        <w:t xml:space="preserve"> </w:t>
      </w:r>
      <w:r>
        <w:rPr>
          <w:bCs/>
          <w:b/>
        </w:rPr>
        <w:t xml:space="preserve">51 permissions in 9 categories</w:t>
      </w:r>
      <w:r>
        <w:t xml:space="preserve">, which a Super Administrator can adjust without programming. Users are also limited to their workplace (HQ, Tema or Takoradi) where configured.</w:t>
      </w:r>
    </w:p>
    <w:bookmarkEnd w:id="50"/>
    <w:bookmarkStart w:id="51" w:name="security-and-control-features"/>
    <w:p>
      <w:pPr>
        <w:pStyle w:val="Heading2"/>
      </w:pPr>
      <w:r>
        <w:t xml:space="preserve">8.3 Security and control features</w:t>
      </w:r>
    </w:p>
    <w:p>
      <w:pPr>
        <w:numPr>
          <w:ilvl w:val="0"/>
          <w:numId w:val="1007"/>
        </w:numPr>
        <w:pStyle w:val="Compact"/>
      </w:pPr>
      <w:r>
        <w:t xml:space="preserve">HTTPS only; strict security headers; no external internet calls from the browser.</w:t>
      </w:r>
    </w:p>
    <w:p>
      <w:pPr>
        <w:numPr>
          <w:ilvl w:val="0"/>
          <w:numId w:val="1007"/>
        </w:numPr>
        <w:pStyle w:val="Compact"/>
      </w:pPr>
      <w:r>
        <w:t xml:space="preserve">Passwords hashed with bcrypt; optional two-step verification (authenticator app); optional Active Directory sign-in; sign-in rate limiting and account lockout.</w:t>
      </w:r>
    </w:p>
    <w:p>
      <w:pPr>
        <w:numPr>
          <w:ilvl w:val="0"/>
          <w:numId w:val="1007"/>
        </w:numPr>
        <w:pStyle w:val="Compact"/>
      </w:pPr>
      <w:r>
        <w:t xml:space="preserve">Role- and record-level access checks on every request.</w:t>
      </w:r>
    </w:p>
    <w:p>
      <w:pPr>
        <w:numPr>
          <w:ilvl w:val="0"/>
          <w:numId w:val="1007"/>
        </w:numPr>
        <w:pStyle w:val="Compact"/>
      </w:pPr>
      <w:r>
        <w:t xml:space="preserve">Uploaded files and backups are</w:t>
      </w:r>
      <w:r>
        <w:t xml:space="preserve"> </w:t>
      </w:r>
      <w:r>
        <w:rPr>
          <w:bCs/>
          <w:b/>
        </w:rPr>
        <w:t xml:space="preserve">encrypted</w:t>
      </w:r>
      <w:r>
        <w:t xml:space="preserve"> </w:t>
      </w:r>
      <w:r>
        <w:t xml:space="preserve">with a GPHA-held key.</w:t>
      </w:r>
    </w:p>
    <w:p>
      <w:pPr>
        <w:numPr>
          <w:ilvl w:val="0"/>
          <w:numId w:val="1007"/>
        </w:numPr>
        <w:pStyle w:val="Compact"/>
      </w:pPr>
      <w:r>
        <w:rPr>
          <w:bCs/>
          <w:b/>
        </w:rPr>
        <w:t xml:space="preserve">Append-only audit trail</w:t>
      </w:r>
      <w:r>
        <w:t xml:space="preserve"> </w:t>
      </w:r>
      <w:r>
        <w:t xml:space="preserve">protected by database triggers: entries cannot be edited or deleted.</w:t>
      </w:r>
    </w:p>
    <w:p>
      <w:pPr>
        <w:numPr>
          <w:ilvl w:val="0"/>
          <w:numId w:val="1007"/>
        </w:numPr>
        <w:pStyle w:val="Compact"/>
      </w:pPr>
      <w:r>
        <w:t xml:space="preserve">Signed-off work is locked; changes need a recorded reopening.</w:t>
      </w:r>
    </w:p>
    <w:p>
      <w:pPr>
        <w:numPr>
          <w:ilvl w:val="0"/>
          <w:numId w:val="1007"/>
        </w:numPr>
        <w:pStyle w:val="Compact"/>
      </w:pPr>
      <w:r>
        <w:t xml:space="preserve">Daily encrypted backups with a restore-verification tool.</w:t>
      </w:r>
    </w:p>
    <w:bookmarkEnd w:id="51"/>
    <w:bookmarkStart w:id="55" w:name="technology-and-hosting"/>
    <w:p>
      <w:pPr>
        <w:pStyle w:val="Heading2"/>
      </w:pPr>
      <w:r>
        <w:t xml:space="preserve">8.4 Technology and hosting</w:t>
      </w:r>
    </w:p>
    <w:tbl>
      <w:tblPr>
        <w:tblStyle w:val="Table"/>
        <w:tblW w:type="pct" w:w="5000"/>
        <w:tblLook w:firstRow="1" w:lastRow="0" w:firstColumn="0" w:lastColumn="0" w:noHBand="0" w:noVBand="0" w:val="0020"/>
        <w:jc w:val="start"/>
      </w:tblPr>
      <w:tblGrid>
        <w:gridCol w:w="2262"/>
        <w:gridCol w:w="5657"/>
      </w:tblGrid>
      <w:tr>
        <w:trPr>
          <w:tblHeader w:val="true"/>
          <w:tblHeader w:val="true"/>
        </w:trPr>
        <w:tc>
          <w:tcPr>
            <w:shd w:val="clear" w:color="auto" w:fill="1E60AE"/>
          </w:tcPr>
          <w:p>
            <w:pPr>
              <w:pStyle w:val="Compact"/>
              <w:jc w:val="left"/>
            </w:pPr>
            <w:r>
              <w:rPr>
                <w:b/>
                <w:color w:val="FFFFFF"/>
              </w:rPr>
              <w:t xml:space="preserve">Item</w:t>
            </w:r>
          </w:p>
        </w:tc>
        <w:tc>
          <w:tcPr>
            <w:shd w:val="clear" w:color="auto" w:fill="1E60AE"/>
          </w:tcPr>
          <w:p>
            <w:pPr>
              <w:pStyle w:val="Compact"/>
              <w:jc w:val="left"/>
            </w:pPr>
            <w:r>
              <w:rPr>
                <w:b/>
                <w:color w:val="FFFFFF"/>
              </w:rPr>
              <w:t xml:space="preserve">Choice</w:t>
            </w:r>
          </w:p>
        </w:tc>
      </w:tr>
      <w:tr>
        <w:tc>
          <w:tcPr/>
          <w:p>
            <w:pPr>
              <w:pStyle w:val="Compact"/>
              <w:jc w:val="left"/>
            </w:pPr>
            <w:r>
              <w:t xml:space="preserve">Application</w:t>
            </w:r>
          </w:p>
        </w:tc>
        <w:tc>
          <w:tcPr/>
          <w:p>
            <w:pPr>
              <w:pStyle w:val="Compact"/>
              <w:jc w:val="left"/>
            </w:pPr>
            <w:r>
              <w:t xml:space="preserve">Python 3.12+ with FastAPI, SQLAlchemy and Alembic</w:t>
            </w:r>
          </w:p>
        </w:tc>
      </w:tr>
      <w:tr>
        <w:tc>
          <w:tcPr/>
          <w:p>
            <w:pPr>
              <w:pStyle w:val="Compact"/>
              <w:jc w:val="left"/>
            </w:pPr>
            <w:r>
              <w:t xml:space="preserve">Database</w:t>
            </w:r>
          </w:p>
        </w:tc>
        <w:tc>
          <w:tcPr/>
          <w:p>
            <w:pPr>
              <w:pStyle w:val="Compact"/>
              <w:jc w:val="left"/>
            </w:pPr>
            <w:r>
              <w:t xml:space="preserve">MySQL 8.4 LTS (104 tables, 34 versioned migrations)</w:t>
            </w:r>
          </w:p>
        </w:tc>
      </w:tr>
      <w:tr>
        <w:tc>
          <w:tcPr/>
          <w:p>
            <w:pPr>
              <w:pStyle w:val="Compact"/>
              <w:jc w:val="left"/>
            </w:pPr>
            <w:r>
              <w:t xml:space="preserve">User interface</w:t>
            </w:r>
          </w:p>
        </w:tc>
        <w:tc>
          <w:tcPr/>
          <w:p>
            <w:pPr>
              <w:pStyle w:val="Compact"/>
              <w:jc w:val="left"/>
            </w:pPr>
            <w:r>
              <w:t xml:space="preserve">Plain HTML, CSS and JavaScript; works in Edge or Chrome on PCs, tablets and phones</w:t>
            </w:r>
          </w:p>
        </w:tc>
      </w:tr>
      <w:tr>
        <w:tc>
          <w:tcPr/>
          <w:p>
            <w:pPr>
              <w:pStyle w:val="Compact"/>
              <w:jc w:val="left"/>
            </w:pPr>
            <w:r>
              <w:t xml:space="preserve">Documents</w:t>
            </w:r>
          </w:p>
        </w:tc>
        <w:tc>
          <w:tcPr/>
          <w:p>
            <w:pPr>
              <w:pStyle w:val="Compact"/>
              <w:jc w:val="left"/>
            </w:pPr>
            <w:r>
              <w:t xml:space="preserve">Word (python-docx) and Excel (openpyxl) output</w:t>
            </w:r>
          </w:p>
        </w:tc>
      </w:tr>
      <w:tr>
        <w:tc>
          <w:tcPr/>
          <w:p>
            <w:pPr>
              <w:pStyle w:val="Compact"/>
              <w:jc w:val="left"/>
            </w:pPr>
            <w:r>
              <w:t xml:space="preserve">Hosting</w:t>
            </w:r>
          </w:p>
        </w:tc>
        <w:tc>
          <w:tcPr/>
          <w:p>
            <w:pPr>
              <w:pStyle w:val="Compact"/>
              <w:jc w:val="left"/>
            </w:pPr>
            <w:r>
              <w:t xml:space="preserve">GPHA Windows server behind Apache or Caddy (HTTPS), run as a Windows service</w:t>
            </w:r>
          </w:p>
        </w:tc>
      </w:tr>
      <w:tr>
        <w:tc>
          <w:tcPr/>
          <w:p>
            <w:pPr>
              <w:pStyle w:val="Compact"/>
              <w:jc w:val="left"/>
            </w:pPr>
            <w:r>
              <w:t xml:space="preserve">Recommended server</w:t>
            </w:r>
          </w:p>
        </w:tc>
        <w:tc>
          <w:tcPr/>
          <w:p>
            <w:pPr>
              <w:pStyle w:val="Compact"/>
              <w:jc w:val="left"/>
            </w:pPr>
            <w:r>
              <w:t xml:space="preserve">Windows Server 2022, 4 vCPU, 8 GB memory, 200 GB disk, plus an off-server backup location</w:t>
            </w:r>
          </w:p>
        </w:tc>
      </w:tr>
      <w:tr>
        <w:tc>
          <w:tcPr/>
          <w:p>
            <w:pPr>
              <w:pStyle w:val="Compact"/>
              <w:jc w:val="left"/>
            </w:pPr>
            <w:r>
              <w:t xml:space="preserve">Licences</w:t>
            </w:r>
          </w:p>
        </w:tc>
        <w:tc>
          <w:tcPr/>
          <w:p>
            <w:pPr>
              <w:pStyle w:val="Compact"/>
              <w:jc w:val="left"/>
            </w:pPr>
            <w:r>
              <w:t xml:space="preserve">All components are open source; no software licence fees</w:t>
            </w:r>
          </w:p>
        </w:tc>
      </w:tr>
    </w:tbl>
    <w:p>
      <w:pPr>
        <w:pStyle w:val="CaptionedFigure"/>
      </w:pPr>
      <w:r>
        <w:drawing>
          <wp:inline>
            <wp:extent cx="5067300" cy="1962608"/>
            <wp:effectExtent b="0" l="0" r="0" t="0"/>
            <wp:docPr descr="GIAW production deployment" title="" id="53" name="Picture"/>
            <a:graphic>
              <a:graphicData uri="http://schemas.openxmlformats.org/drawingml/2006/picture">
                <pic:pic>
                  <pic:nvPicPr>
                    <pic:cNvPr descr="images/diagram-deploy.png" id="54" name="Picture"/>
                    <pic:cNvPicPr>
                      <a:picLocks noChangeArrowheads="1" noChangeAspect="1"/>
                    </pic:cNvPicPr>
                  </pic:nvPicPr>
                  <pic:blipFill>
                    <a:blip r:embed="rId52"/>
                    <a:stretch>
                      <a:fillRect/>
                    </a:stretch>
                  </pic:blipFill>
                  <pic:spPr bwMode="auto">
                    <a:xfrm>
                      <a:off x="0" y="0"/>
                      <a:ext cx="5067300" cy="1962608"/>
                    </a:xfrm>
                    <a:prstGeom prst="rect">
                      <a:avLst/>
                    </a:prstGeom>
                    <a:noFill/>
                    <a:ln w="9525">
                      <a:noFill/>
                      <a:headEnd/>
                      <a:tailEnd/>
                    </a:ln>
                  </pic:spPr>
                </pic:pic>
              </a:graphicData>
            </a:graphic>
          </wp:inline>
        </w:drawing>
      </w:r>
    </w:p>
    <w:p>
      <w:pPr>
        <w:pStyle w:val="ImageCaption"/>
      </w:pPr>
      <w:r>
        <w:t xml:space="preserve">GIAW production deployment</w:t>
      </w:r>
    </w:p>
    <w:bookmarkEnd w:id="55"/>
    <w:bookmarkEnd w:id="56"/>
    <w:bookmarkStart w:id="60" w:name="end-to-end-implementation-plan"/>
    <w:p>
      <w:pPr>
        <w:pStyle w:val="Heading1"/>
      </w:pPr>
      <w:r>
        <w:t xml:space="preserve">9. End-to-end implementation plan</w:t>
      </w:r>
    </w:p>
    <w:bookmarkStart w:id="57" w:name="what-has-been-done-stages-1-to-3"/>
    <w:p>
      <w:pPr>
        <w:pStyle w:val="Heading2"/>
      </w:pPr>
      <w:r>
        <w:t xml:space="preserve">9.1 What has been done (Stages 1 to 3)</w:t>
      </w:r>
    </w:p>
    <w:tbl>
      <w:tblPr>
        <w:tblStyle w:val="Table"/>
        <w:tblW w:type="pct" w:w="5000"/>
        <w:tblLook w:firstRow="1" w:lastRow="0" w:firstColumn="0" w:lastColumn="0" w:noHBand="0" w:noVBand="0" w:val="0020"/>
        <w:jc w:val="start"/>
      </w:tblPr>
      <w:tblGrid>
        <w:gridCol w:w="2640"/>
        <w:gridCol w:w="4242"/>
        <w:gridCol w:w="1037"/>
      </w:tblGrid>
      <w:tr>
        <w:trPr>
          <w:tblHeader w:val="true"/>
          <w:tblHeader w:val="true"/>
        </w:trPr>
        <w:tc>
          <w:tcPr>
            <w:shd w:val="clear" w:color="auto" w:fill="1E60AE"/>
          </w:tcPr>
          <w:p>
            <w:pPr>
              <w:pStyle w:val="Compact"/>
              <w:jc w:val="left"/>
            </w:pPr>
            <w:r>
              <w:rPr>
                <w:b/>
                <w:color w:val="FFFFFF"/>
              </w:rPr>
              <w:t xml:space="preserve">Stage</w:t>
            </w:r>
          </w:p>
        </w:tc>
        <w:tc>
          <w:tcPr>
            <w:shd w:val="clear" w:color="auto" w:fill="1E60AE"/>
          </w:tcPr>
          <w:p>
            <w:pPr>
              <w:pStyle w:val="Compact"/>
              <w:jc w:val="left"/>
            </w:pPr>
            <w:r>
              <w:rPr>
                <w:b/>
                <w:color w:val="FFFFFF"/>
              </w:rPr>
              <w:t xml:space="preserve">Work</w:t>
            </w:r>
          </w:p>
        </w:tc>
        <w:tc>
          <w:tcPr>
            <w:shd w:val="clear" w:color="auto" w:fill="1E60AE"/>
          </w:tcPr>
          <w:p>
            <w:pPr>
              <w:pStyle w:val="Compact"/>
              <w:jc w:val="left"/>
            </w:pPr>
            <w:r>
              <w:rPr>
                <w:b/>
                <w:color w:val="FFFFFF"/>
              </w:rPr>
              <w:t xml:space="preserve">Status</w:t>
            </w:r>
          </w:p>
        </w:tc>
      </w:tr>
      <w:tr>
        <w:tc>
          <w:tcPr/>
          <w:p>
            <w:pPr>
              <w:pStyle w:val="Compact"/>
              <w:jc w:val="left"/>
            </w:pPr>
            <w:r>
              <w:t xml:space="preserve">1. Discovery and design</w:t>
            </w:r>
          </w:p>
        </w:tc>
        <w:tc>
          <w:tcPr/>
          <w:p>
            <w:pPr>
              <w:pStyle w:val="Compact"/>
              <w:jc w:val="left"/>
            </w:pPr>
            <w:r>
              <w:t xml:space="preserve">Review of IMS_PS_004_AU03, the department overview, the review chain, streams, templates and gaps; blueprint with 10 modules and 20 build phases</w:t>
            </w:r>
          </w:p>
        </w:tc>
        <w:tc>
          <w:tcPr/>
          <w:p>
            <w:pPr>
              <w:pStyle w:val="Compact"/>
              <w:jc w:val="left"/>
            </w:pPr>
            <w:r>
              <w:t xml:space="preserve">Complete</w:t>
            </w:r>
          </w:p>
        </w:tc>
      </w:tr>
      <w:tr>
        <w:tc>
          <w:tcPr/>
          <w:p>
            <w:pPr>
              <w:pStyle w:val="Compact"/>
              <w:jc w:val="left"/>
            </w:pPr>
            <w:r>
              <w:t xml:space="preserve">2. Build</w:t>
            </w:r>
          </w:p>
        </w:tc>
        <w:tc>
          <w:tcPr/>
          <w:p>
            <w:pPr>
              <w:pStyle w:val="Compact"/>
              <w:jc w:val="left"/>
            </w:pPr>
            <w:r>
              <w:t xml:space="preserve">Platform (sign-in, roles, audit trail, encryption, backups), all 31 apps, Word and Excel outputs, configuration without programming, GPHA branding</w:t>
            </w:r>
          </w:p>
        </w:tc>
        <w:tc>
          <w:tcPr/>
          <w:p>
            <w:pPr>
              <w:pStyle w:val="Compact"/>
              <w:jc w:val="left"/>
            </w:pPr>
            <w:r>
              <w:t xml:space="preserve">Complete</w:t>
            </w:r>
          </w:p>
        </w:tc>
      </w:tr>
      <w:tr>
        <w:tc>
          <w:tcPr/>
          <w:p>
            <w:pPr>
              <w:pStyle w:val="Compact"/>
              <w:jc w:val="left"/>
            </w:pPr>
            <w:r>
              <w:t xml:space="preserve">3. Testing and documentation</w:t>
            </w:r>
          </w:p>
        </w:tc>
        <w:tc>
          <w:tcPr/>
          <w:p>
            <w:pPr>
              <w:pStyle w:val="Compact"/>
              <w:jc w:val="left"/>
            </w:pPr>
            <w:r>
              <w:t xml:space="preserve">150 system tests and 9 browser tests passing; end-to-end QA (75 checks, 72 pass); security scans; accessibility checks (0 issues on 38 desktop screens); full documentation and training set</w:t>
            </w:r>
          </w:p>
        </w:tc>
        <w:tc>
          <w:tcPr/>
          <w:p>
            <w:pPr>
              <w:pStyle w:val="Compact"/>
              <w:jc w:val="left"/>
            </w:pPr>
            <w:r>
              <w:t xml:space="preserve">Complete</w:t>
            </w:r>
          </w:p>
        </w:tc>
      </w:tr>
    </w:tbl>
    <w:bookmarkEnd w:id="57"/>
    <w:bookmarkStart w:id="58" w:name="what-remains-stages-4-to-9"/>
    <w:p>
      <w:pPr>
        <w:pStyle w:val="Heading2"/>
      </w:pPr>
      <w:r>
        <w:t xml:space="preserve">9.2 What remains (Stages 4 to 9)</w:t>
      </w:r>
    </w:p>
    <w:p>
      <w:pPr>
        <w:pStyle w:val="FirstParagraph"/>
      </w:pPr>
      <w:r>
        <w:t xml:space="preserve">Timeline assumes approval by the end of October 2026. Dates move with the approval date and server availability.</w:t>
      </w:r>
    </w:p>
    <w:tbl>
      <w:tblPr>
        <w:tblStyle w:val="Table"/>
        <w:tblW w:type="pct" w:w="5000"/>
        <w:tblLook w:firstRow="1" w:lastRow="0" w:firstColumn="0" w:lastColumn="0" w:noHBand="0" w:noVBand="0" w:val="0020"/>
        <w:jc w:val="start"/>
      </w:tblPr>
      <w:tblGrid>
        <w:gridCol w:w="1326"/>
        <w:gridCol w:w="1865"/>
        <w:gridCol w:w="1865"/>
        <w:gridCol w:w="995"/>
        <w:gridCol w:w="1865"/>
      </w:tblGrid>
      <w:tr>
        <w:trPr>
          <w:tblHeader w:val="true"/>
          <w:tblHeader w:val="true"/>
        </w:trPr>
        <w:tc>
          <w:tcPr>
            <w:shd w:val="clear" w:color="auto" w:fill="1E60AE"/>
          </w:tcPr>
          <w:p>
            <w:pPr>
              <w:pStyle w:val="Compact"/>
              <w:jc w:val="left"/>
            </w:pPr>
            <w:r>
              <w:rPr>
                <w:b/>
                <w:color w:val="FFFFFF"/>
              </w:rPr>
              <w:t xml:space="preserve">Stage</w:t>
            </w:r>
          </w:p>
        </w:tc>
        <w:tc>
          <w:tcPr>
            <w:shd w:val="clear" w:color="auto" w:fill="1E60AE"/>
          </w:tcPr>
          <w:p>
            <w:pPr>
              <w:pStyle w:val="Compact"/>
              <w:jc w:val="left"/>
            </w:pPr>
            <w:r>
              <w:rPr>
                <w:b/>
                <w:color w:val="FFFFFF"/>
              </w:rPr>
              <w:t xml:space="preserve">Activities</w:t>
            </w:r>
          </w:p>
        </w:tc>
        <w:tc>
          <w:tcPr>
            <w:shd w:val="clear" w:color="auto" w:fill="1E60AE"/>
          </w:tcPr>
          <w:p>
            <w:pPr>
              <w:pStyle w:val="Compact"/>
              <w:jc w:val="left"/>
            </w:pPr>
            <w:r>
              <w:rPr>
                <w:b/>
                <w:color w:val="FFFFFF"/>
              </w:rPr>
              <w:t xml:space="preserve">Target timing</w:t>
            </w:r>
          </w:p>
        </w:tc>
        <w:tc>
          <w:tcPr>
            <w:shd w:val="clear" w:color="auto" w:fill="1E60AE"/>
          </w:tcPr>
          <w:p>
            <w:pPr>
              <w:pStyle w:val="Compact"/>
              <w:jc w:val="left"/>
            </w:pPr>
            <w:r>
              <w:rPr>
                <w:b/>
                <w:color w:val="FFFFFF"/>
              </w:rPr>
              <w:t xml:space="preserve">Responsible</w:t>
            </w:r>
          </w:p>
        </w:tc>
        <w:tc>
          <w:tcPr>
            <w:shd w:val="clear" w:color="auto" w:fill="1E60AE"/>
          </w:tcPr>
          <w:p>
            <w:pPr>
              <w:pStyle w:val="Compact"/>
              <w:jc w:val="left"/>
            </w:pPr>
            <w:r>
              <w:rPr>
                <w:b/>
                <w:color w:val="FFFFFF"/>
              </w:rPr>
              <w:t xml:space="preserve">Exit criterion</w:t>
            </w:r>
          </w:p>
        </w:tc>
      </w:tr>
      <w:tr>
        <w:tc>
          <w:tcPr/>
          <w:p>
            <w:pPr>
              <w:pStyle w:val="Compact"/>
              <w:jc w:val="left"/>
            </w:pPr>
            <w:r>
              <w:t xml:space="preserve">4. Approval and decisions</w:t>
            </w:r>
          </w:p>
        </w:tc>
        <w:tc>
          <w:tcPr/>
          <w:p>
            <w:pPr>
              <w:pStyle w:val="Compact"/>
              <w:jc w:val="left"/>
            </w:pPr>
            <w:r>
              <w:t xml:space="preserve">Approve this plan; appoint project roles; take decisions D1 to D16</w:t>
            </w:r>
          </w:p>
        </w:tc>
        <w:tc>
          <w:tcPr/>
          <w:p>
            <w:pPr>
              <w:pStyle w:val="Compact"/>
              <w:jc w:val="left"/>
            </w:pPr>
            <w:r>
              <w:t xml:space="preserve">Weeks 1 to 2 (by 30 Oct 2026)</w:t>
            </w:r>
          </w:p>
        </w:tc>
        <w:tc>
          <w:tcPr/>
          <w:p>
            <w:pPr>
              <w:pStyle w:val="Compact"/>
              <w:jc w:val="left"/>
            </w:pPr>
            <w:r>
              <w:t xml:space="preserve">GM Audit, Management</w:t>
            </w:r>
          </w:p>
        </w:tc>
        <w:tc>
          <w:tcPr/>
          <w:p>
            <w:pPr>
              <w:pStyle w:val="Compact"/>
              <w:jc w:val="left"/>
            </w:pPr>
            <w:r>
              <w:t xml:space="preserve">Signed approval; decision register completed</w:t>
            </w:r>
          </w:p>
        </w:tc>
      </w:tr>
      <w:tr>
        <w:tc>
          <w:tcPr/>
          <w:p>
            <w:pPr>
              <w:pStyle w:val="Compact"/>
              <w:jc w:val="left"/>
            </w:pPr>
            <w:r>
              <w:t xml:space="preserve">5. Final fixes and configuration</w:t>
            </w:r>
          </w:p>
        </w:tc>
        <w:tc>
          <w:tcPr/>
          <w:p>
            <w:pPr>
              <w:pStyle w:val="Compact"/>
              <w:jc w:val="left"/>
            </w:pPr>
            <w:r>
              <w:t xml:space="preserve">Fix QA-02 (concurrent editing) and QA-08 (phone layout); add Committee role if D13 = yes; configure templates, risk scales, review levels and calendar to the decisions</w:t>
            </w:r>
          </w:p>
        </w:tc>
        <w:tc>
          <w:tcPr/>
          <w:p>
            <w:pPr>
              <w:pStyle w:val="Compact"/>
              <w:jc w:val="left"/>
            </w:pPr>
            <w:r>
              <w:t xml:space="preserve">Weeks 2 to 4</w:t>
            </w:r>
          </w:p>
        </w:tc>
        <w:tc>
          <w:tcPr/>
          <w:p>
            <w:pPr>
              <w:pStyle w:val="Compact"/>
              <w:jc w:val="left"/>
            </w:pPr>
            <w:r>
              <w:t xml:space="preserve">Developer, system owner</w:t>
            </w:r>
          </w:p>
        </w:tc>
        <w:tc>
          <w:tcPr/>
          <w:p>
            <w:pPr>
              <w:pStyle w:val="Compact"/>
              <w:jc w:val="left"/>
            </w:pPr>
            <w:r>
              <w:t xml:space="preserve">Retest passes; configuration approved by GM Audit</w:t>
            </w:r>
          </w:p>
        </w:tc>
      </w:tr>
      <w:tr>
        <w:tc>
          <w:tcPr/>
          <w:p>
            <w:pPr>
              <w:pStyle w:val="Compact"/>
              <w:jc w:val="left"/>
            </w:pPr>
            <w:r>
              <w:t xml:space="preserve">6. Production environment</w:t>
            </w:r>
          </w:p>
        </w:tc>
        <w:tc>
          <w:tcPr/>
          <w:p>
            <w:pPr>
              <w:pStyle w:val="Compact"/>
              <w:jc w:val="left"/>
            </w:pPr>
            <w:r>
              <w:t xml:space="preserve">GPHA IT builds the server, MySQL 8.4, HTTPS certificate, backups and monitoring; security review; restore test</w:t>
            </w:r>
          </w:p>
        </w:tc>
        <w:tc>
          <w:tcPr/>
          <w:p>
            <w:pPr>
              <w:pStyle w:val="Compact"/>
              <w:jc w:val="left"/>
            </w:pPr>
            <w:r>
              <w:t xml:space="preserve">Weeks 3 to 6</w:t>
            </w:r>
          </w:p>
        </w:tc>
        <w:tc>
          <w:tcPr/>
          <w:p>
            <w:pPr>
              <w:pStyle w:val="Compact"/>
              <w:jc w:val="left"/>
            </w:pPr>
            <w:r>
              <w:t xml:space="preserve">GPHA IT, IT Security</w:t>
            </w:r>
          </w:p>
        </w:tc>
        <w:tc>
          <w:tcPr/>
          <w:p>
            <w:pPr>
              <w:pStyle w:val="Compact"/>
              <w:jc w:val="left"/>
            </w:pPr>
            <w:r>
              <w:t xml:space="preserve">Readiness check OK; restore proven; security review signed</w:t>
            </w:r>
          </w:p>
        </w:tc>
      </w:tr>
      <w:tr>
        <w:tc>
          <w:tcPr/>
          <w:p>
            <w:pPr>
              <w:pStyle w:val="Compact"/>
              <w:jc w:val="left"/>
            </w:pPr>
            <w:r>
              <w:t xml:space="preserve">7. Pilot (UAT)</w:t>
            </w:r>
          </w:p>
        </w:tc>
        <w:tc>
          <w:tcPr/>
          <w:p>
            <w:pPr>
              <w:pStyle w:val="Compact"/>
              <w:jc w:val="left"/>
            </w:pPr>
            <w:r>
              <w:t xml:space="preserve">One real engagement end to end at HQ or Tema with 3 to 5 auditors and one audit client unit</w:t>
            </w:r>
          </w:p>
        </w:tc>
        <w:tc>
          <w:tcPr/>
          <w:p>
            <w:pPr>
              <w:pStyle w:val="Compact"/>
              <w:jc w:val="left"/>
            </w:pPr>
            <w:r>
              <w:t xml:space="preserve">Weeks 6 to 9</w:t>
            </w:r>
          </w:p>
        </w:tc>
        <w:tc>
          <w:tcPr/>
          <w:p>
            <w:pPr>
              <w:pStyle w:val="Compact"/>
              <w:jc w:val="left"/>
            </w:pPr>
            <w:r>
              <w:t xml:space="preserve">System owner, pilot team</w:t>
            </w:r>
          </w:p>
        </w:tc>
        <w:tc>
          <w:tcPr/>
          <w:p>
            <w:pPr>
              <w:pStyle w:val="Compact"/>
              <w:jc w:val="left"/>
            </w:pPr>
            <w:r>
              <w:t xml:space="preserve">UAT sign-off; no open Critical or High issues</w:t>
            </w:r>
          </w:p>
        </w:tc>
      </w:tr>
      <w:tr>
        <w:tc>
          <w:tcPr/>
          <w:p>
            <w:pPr>
              <w:pStyle w:val="Compact"/>
              <w:jc w:val="left"/>
            </w:pPr>
            <w:r>
              <w:t xml:space="preserve">8. Data load and training</w:t>
            </w:r>
          </w:p>
        </w:tc>
        <w:tc>
          <w:tcPr/>
          <w:p>
            <w:pPr>
              <w:pStyle w:val="Compact"/>
              <w:jc w:val="left"/>
            </w:pPr>
            <w:r>
              <w:t xml:space="preserve">Load organisation structure, universe, current plan, open audits and open findings; train every role; issue quick guides; name super users</w:t>
            </w:r>
          </w:p>
        </w:tc>
        <w:tc>
          <w:tcPr/>
          <w:p>
            <w:pPr>
              <w:pStyle w:val="Compact"/>
              <w:jc w:val="left"/>
            </w:pPr>
            <w:r>
              <w:t xml:space="preserve">Weeks 8 to 11</w:t>
            </w:r>
          </w:p>
        </w:tc>
        <w:tc>
          <w:tcPr/>
          <w:p>
            <w:pPr>
              <w:pStyle w:val="Compact"/>
              <w:jc w:val="left"/>
            </w:pPr>
            <w:r>
              <w:t xml:space="preserve">System owner, trainers</w:t>
            </w:r>
          </w:p>
        </w:tc>
        <w:tc>
          <w:tcPr/>
          <w:p>
            <w:pPr>
              <w:pStyle w:val="Compact"/>
              <w:jc w:val="left"/>
            </w:pPr>
            <w:r>
              <w:t xml:space="preserve">Data reconciled and signed; all users trained</w:t>
            </w:r>
          </w:p>
        </w:tc>
      </w:tr>
      <w:tr>
        <w:tc>
          <w:tcPr/>
          <w:p>
            <w:pPr>
              <w:pStyle w:val="Compact"/>
              <w:jc w:val="left"/>
            </w:pPr>
            <w:r>
              <w:t xml:space="preserve">9. Go-live and support</w:t>
            </w:r>
          </w:p>
        </w:tc>
        <w:tc>
          <w:tcPr/>
          <w:p>
            <w:pPr>
              <w:pStyle w:val="Compact"/>
              <w:jc w:val="left"/>
            </w:pPr>
            <w:r>
              <w:t xml:space="preserve">Go-live at Headquarters, then Tema, then Takoradi; hypercare for 4 weeks; then normal support</w:t>
            </w:r>
          </w:p>
        </w:tc>
        <w:tc>
          <w:tcPr/>
          <w:p>
            <w:pPr>
              <w:pStyle w:val="Compact"/>
              <w:jc w:val="left"/>
            </w:pPr>
            <w:r>
              <w:t xml:space="preserve">Weeks 11 to 16 (about mid-January to February 2027)</w:t>
            </w:r>
          </w:p>
        </w:tc>
        <w:tc>
          <w:tcPr/>
          <w:p>
            <w:pPr>
              <w:pStyle w:val="Compact"/>
              <w:jc w:val="left"/>
            </w:pPr>
            <w:r>
              <w:t xml:space="preserve">All</w:t>
            </w:r>
          </w:p>
        </w:tc>
        <w:tc>
          <w:tcPr/>
          <w:p>
            <w:pPr>
              <w:pStyle w:val="Compact"/>
              <w:jc w:val="left"/>
            </w:pPr>
            <w:r>
              <w:t xml:space="preserve">All three locations live; post-implementation review held</w:t>
            </w:r>
          </w:p>
        </w:tc>
      </w:tr>
    </w:tbl>
    <w:p>
      <w:pPr>
        <w:pStyle w:val="BodyText"/>
      </w:pPr>
      <w:r>
        <w:rPr>
          <w:bCs/>
          <w:b/>
        </w:rPr>
        <w:t xml:space="preserve">Summary timeline</w:t>
      </w:r>
    </w:p>
    <w:tbl>
      <w:tblPr>
        <w:tblStyle w:val="Table"/>
        <w:tblW w:type="pct" w:w="5000"/>
        <w:tblLook w:firstRow="1" w:lastRow="0" w:firstColumn="0" w:lastColumn="0" w:noHBand="0" w:noVBand="0" w:val="0020"/>
        <w:jc w:val="start"/>
      </w:tblPr>
      <w:tblGrid>
        <w:gridCol w:w="1775"/>
        <w:gridCol w:w="6144"/>
      </w:tblGrid>
      <w:tr>
        <w:trPr>
          <w:tblHeader w:val="true"/>
          <w:tblHeader w:val="true"/>
        </w:trPr>
        <w:tc>
          <w:tcPr>
            <w:shd w:val="clear" w:color="auto" w:fill="1E60AE"/>
          </w:tcPr>
          <w:p>
            <w:pPr>
              <w:pStyle w:val="Compact"/>
              <w:jc w:val="left"/>
            </w:pPr>
            <w:r>
              <w:rPr>
                <w:b/>
                <w:color w:val="FFFFFF"/>
              </w:rPr>
              <w:t xml:space="preserve">Month</w:t>
            </w:r>
          </w:p>
        </w:tc>
        <w:tc>
          <w:tcPr>
            <w:shd w:val="clear" w:color="auto" w:fill="1E60AE"/>
          </w:tcPr>
          <w:p>
            <w:pPr>
              <w:pStyle w:val="Compact"/>
              <w:jc w:val="left"/>
            </w:pPr>
            <w:r>
              <w:rPr>
                <w:b/>
                <w:color w:val="FFFFFF"/>
              </w:rPr>
              <w:t xml:space="preserve">Main activity</w:t>
            </w:r>
          </w:p>
        </w:tc>
      </w:tr>
      <w:tr>
        <w:tc>
          <w:tcPr/>
          <w:p>
            <w:pPr>
              <w:pStyle w:val="Compact"/>
              <w:jc w:val="left"/>
            </w:pPr>
            <w:r>
              <w:t xml:space="preserve">October 2026</w:t>
            </w:r>
          </w:p>
        </w:tc>
        <w:tc>
          <w:tcPr/>
          <w:p>
            <w:pPr>
              <w:pStyle w:val="Compact"/>
              <w:jc w:val="left"/>
            </w:pPr>
            <w:r>
              <w:t xml:space="preserve">Approval, project roles, decisions</w:t>
            </w:r>
          </w:p>
        </w:tc>
      </w:tr>
      <w:tr>
        <w:tc>
          <w:tcPr/>
          <w:p>
            <w:pPr>
              <w:pStyle w:val="Compact"/>
              <w:jc w:val="left"/>
            </w:pPr>
            <w:r>
              <w:t xml:space="preserve">November 2026</w:t>
            </w:r>
          </w:p>
        </w:tc>
        <w:tc>
          <w:tcPr/>
          <w:p>
            <w:pPr>
              <w:pStyle w:val="Compact"/>
              <w:jc w:val="left"/>
            </w:pPr>
            <w:r>
              <w:t xml:space="preserve">Fixes, configuration, server build, security review</w:t>
            </w:r>
          </w:p>
        </w:tc>
      </w:tr>
      <w:tr>
        <w:tc>
          <w:tcPr/>
          <w:p>
            <w:pPr>
              <w:pStyle w:val="Compact"/>
              <w:jc w:val="left"/>
            </w:pPr>
            <w:r>
              <w:t xml:space="preserve">December 2026</w:t>
            </w:r>
          </w:p>
        </w:tc>
        <w:tc>
          <w:tcPr/>
          <w:p>
            <w:pPr>
              <w:pStyle w:val="Compact"/>
              <w:jc w:val="left"/>
            </w:pPr>
            <w:r>
              <w:t xml:space="preserve">Pilot engagement (UAT), data preparation</w:t>
            </w:r>
          </w:p>
        </w:tc>
      </w:tr>
      <w:tr>
        <w:tc>
          <w:tcPr/>
          <w:p>
            <w:pPr>
              <w:pStyle w:val="Compact"/>
              <w:jc w:val="left"/>
            </w:pPr>
            <w:r>
              <w:t xml:space="preserve">January 2027</w:t>
            </w:r>
          </w:p>
        </w:tc>
        <w:tc>
          <w:tcPr/>
          <w:p>
            <w:pPr>
              <w:pStyle w:val="Compact"/>
              <w:jc w:val="left"/>
            </w:pPr>
            <w:r>
              <w:t xml:space="preserve">Data load, training, Headquarters go-live</w:t>
            </w:r>
          </w:p>
        </w:tc>
      </w:tr>
      <w:tr>
        <w:tc>
          <w:tcPr/>
          <w:p>
            <w:pPr>
              <w:pStyle w:val="Compact"/>
              <w:jc w:val="left"/>
            </w:pPr>
            <w:r>
              <w:t xml:space="preserve">February 2027</w:t>
            </w:r>
          </w:p>
        </w:tc>
        <w:tc>
          <w:tcPr/>
          <w:p>
            <w:pPr>
              <w:pStyle w:val="Compact"/>
              <w:jc w:val="left"/>
            </w:pPr>
            <w:r>
              <w:t xml:space="preserve">Tema and Takoradi go-live, hypercare, post-implementation review</w:t>
            </w:r>
          </w:p>
        </w:tc>
      </w:tr>
    </w:tbl>
    <w:bookmarkEnd w:id="58"/>
    <w:bookmarkStart w:id="59" w:name="go-live-checklist"/>
    <w:p>
      <w:pPr>
        <w:pStyle w:val="Heading2"/>
      </w:pPr>
      <w:r>
        <w:t xml:space="preserve">9.3 Go-live checklist</w:t>
      </w:r>
    </w:p>
    <w:tbl>
      <w:tblPr>
        <w:tblStyle w:val="Table"/>
        <w:tblW w:type="pct" w:w="5000"/>
        <w:tblLook w:firstRow="1" w:lastRow="0" w:firstColumn="0" w:lastColumn="0" w:noHBand="0" w:noVBand="0" w:val="0020"/>
        <w:jc w:val="start"/>
      </w:tblPr>
      <w:tblGrid>
        <w:gridCol w:w="1555"/>
        <w:gridCol w:w="6364"/>
      </w:tblGrid>
      <w:tr>
        <w:trPr>
          <w:tblHeader w:val="true"/>
          <w:tblHeader w:val="true"/>
        </w:trPr>
        <w:tc>
          <w:tcPr>
            <w:shd w:val="clear" w:color="auto" w:fill="1E60AE"/>
          </w:tcPr>
          <w:p>
            <w:pPr>
              <w:pStyle w:val="Compact"/>
              <w:jc w:val="left"/>
            </w:pPr>
            <w:r>
              <w:rPr>
                <w:b/>
                <w:color w:val="FFFFFF"/>
              </w:rPr>
              <w:t xml:space="preserve">#</w:t>
            </w:r>
          </w:p>
        </w:tc>
        <w:tc>
          <w:tcPr>
            <w:shd w:val="clear" w:color="auto" w:fill="1E60AE"/>
          </w:tcPr>
          <w:p>
            <w:pPr>
              <w:pStyle w:val="Compact"/>
              <w:jc w:val="left"/>
            </w:pPr>
            <w:r>
              <w:rPr>
                <w:b/>
                <w:color w:val="FFFFFF"/>
              </w:rPr>
              <w:t xml:space="preserve">Item</w:t>
            </w:r>
          </w:p>
        </w:tc>
      </w:tr>
      <w:tr>
        <w:tc>
          <w:tcPr/>
          <w:p>
            <w:pPr>
              <w:pStyle w:val="Compact"/>
              <w:jc w:val="left"/>
            </w:pPr>
            <w:r>
              <w:t xml:space="preserve">1</w:t>
            </w:r>
          </w:p>
        </w:tc>
        <w:tc>
          <w:tcPr/>
          <w:p>
            <w:pPr>
              <w:pStyle w:val="Compact"/>
              <w:jc w:val="left"/>
            </w:pPr>
            <w:r>
              <w:t xml:space="preserve">Decisions D1 to D16 recorded</w:t>
            </w:r>
          </w:p>
        </w:tc>
      </w:tr>
      <w:tr>
        <w:tc>
          <w:tcPr/>
          <w:p>
            <w:pPr>
              <w:pStyle w:val="Compact"/>
              <w:jc w:val="left"/>
            </w:pPr>
            <w:r>
              <w:t xml:space="preserve">2</w:t>
            </w:r>
          </w:p>
        </w:tc>
        <w:tc>
          <w:tcPr/>
          <w:p>
            <w:pPr>
              <w:pStyle w:val="Compact"/>
              <w:jc w:val="left"/>
            </w:pPr>
            <w:r>
              <w:t xml:space="preserve">Production server built; HTTPS working; readiness check OK</w:t>
            </w:r>
          </w:p>
        </w:tc>
      </w:tr>
      <w:tr>
        <w:tc>
          <w:tcPr/>
          <w:p>
            <w:pPr>
              <w:pStyle w:val="Compact"/>
              <w:jc w:val="left"/>
            </w:pPr>
            <w:r>
              <w:t xml:space="preserve">3</w:t>
            </w:r>
          </w:p>
        </w:tc>
        <w:tc>
          <w:tcPr/>
          <w:p>
            <w:pPr>
              <w:pStyle w:val="Compact"/>
              <w:jc w:val="left"/>
            </w:pPr>
            <w:r>
              <w:t xml:space="preserve">Backup restore proven and the result filed</w:t>
            </w:r>
          </w:p>
        </w:tc>
      </w:tr>
      <w:tr>
        <w:tc>
          <w:tcPr/>
          <w:p>
            <w:pPr>
              <w:pStyle w:val="Compact"/>
              <w:jc w:val="left"/>
            </w:pPr>
            <w:r>
              <w:t xml:space="preserve">4</w:t>
            </w:r>
          </w:p>
        </w:tc>
        <w:tc>
          <w:tcPr/>
          <w:p>
            <w:pPr>
              <w:pStyle w:val="Compact"/>
              <w:jc w:val="left"/>
            </w:pPr>
            <w:r>
              <w:t xml:space="preserve">Encryption key and configuration file stored securely, separately from backups</w:t>
            </w:r>
          </w:p>
        </w:tc>
      </w:tr>
      <w:tr>
        <w:tc>
          <w:tcPr/>
          <w:p>
            <w:pPr>
              <w:pStyle w:val="Compact"/>
              <w:jc w:val="left"/>
            </w:pPr>
            <w:r>
              <w:t xml:space="preserve">5</w:t>
            </w:r>
          </w:p>
        </w:tc>
        <w:tc>
          <w:tcPr/>
          <w:p>
            <w:pPr>
              <w:pStyle w:val="Compact"/>
              <w:jc w:val="left"/>
            </w:pPr>
            <w:r>
              <w:t xml:space="preserve">At least two Super Administrators; initial password replaced</w:t>
            </w:r>
          </w:p>
        </w:tc>
      </w:tr>
      <w:tr>
        <w:tc>
          <w:tcPr/>
          <w:p>
            <w:pPr>
              <w:pStyle w:val="Compact"/>
              <w:jc w:val="left"/>
            </w:pPr>
            <w:r>
              <w:t xml:space="preserve">6</w:t>
            </w:r>
          </w:p>
        </w:tc>
        <w:tc>
          <w:tcPr/>
          <w:p>
            <w:pPr>
              <w:pStyle w:val="Compact"/>
              <w:jc w:val="left"/>
            </w:pPr>
            <w:r>
              <w:t xml:space="preserve">Reference data loaded and reconciled</w:t>
            </w:r>
          </w:p>
        </w:tc>
      </w:tr>
      <w:tr>
        <w:tc>
          <w:tcPr/>
          <w:p>
            <w:pPr>
              <w:pStyle w:val="Compact"/>
              <w:jc w:val="left"/>
            </w:pPr>
            <w:r>
              <w:t xml:space="preserve">7</w:t>
            </w:r>
          </w:p>
        </w:tc>
        <w:tc>
          <w:tcPr/>
          <w:p>
            <w:pPr>
              <w:pStyle w:val="Compact"/>
              <w:jc w:val="left"/>
            </w:pPr>
            <w:r>
              <w:t xml:space="preserve">Users created with correct job roles and workplaces</w:t>
            </w:r>
          </w:p>
        </w:tc>
      </w:tr>
      <w:tr>
        <w:tc>
          <w:tcPr/>
          <w:p>
            <w:pPr>
              <w:pStyle w:val="Compact"/>
              <w:jc w:val="left"/>
            </w:pPr>
            <w:r>
              <w:t xml:space="preserve">8</w:t>
            </w:r>
          </w:p>
        </w:tc>
        <w:tc>
          <w:tcPr/>
          <w:p>
            <w:pPr>
              <w:pStyle w:val="Compact"/>
              <w:jc w:val="left"/>
            </w:pPr>
            <w:r>
              <w:t xml:space="preserve">Configuration approved by the GM Audit</w:t>
            </w:r>
          </w:p>
        </w:tc>
      </w:tr>
      <w:tr>
        <w:tc>
          <w:tcPr/>
          <w:p>
            <w:pPr>
              <w:pStyle w:val="Compact"/>
              <w:jc w:val="left"/>
            </w:pPr>
            <w:r>
              <w:t xml:space="preserve">9</w:t>
            </w:r>
          </w:p>
        </w:tc>
        <w:tc>
          <w:tcPr/>
          <w:p>
            <w:pPr>
              <w:pStyle w:val="Compact"/>
              <w:jc w:val="left"/>
            </w:pPr>
            <w:r>
              <w:t xml:space="preserve">Training delivered to every role</w:t>
            </w:r>
          </w:p>
        </w:tc>
      </w:tr>
      <w:tr>
        <w:tc>
          <w:tcPr/>
          <w:p>
            <w:pPr>
              <w:pStyle w:val="Compact"/>
              <w:jc w:val="left"/>
            </w:pPr>
            <w:r>
              <w:t xml:space="preserve">10</w:t>
            </w:r>
          </w:p>
        </w:tc>
        <w:tc>
          <w:tcPr/>
          <w:p>
            <w:pPr>
              <w:pStyle w:val="Compact"/>
              <w:jc w:val="left"/>
            </w:pPr>
            <w:r>
              <w:t xml:space="preserve">Support contacts announced</w:t>
            </w:r>
          </w:p>
        </w:tc>
      </w:tr>
      <w:tr>
        <w:tc>
          <w:tcPr/>
          <w:p>
            <w:pPr>
              <w:pStyle w:val="Compact"/>
              <w:jc w:val="left"/>
            </w:pPr>
            <w:r>
              <w:t xml:space="preserve">11</w:t>
            </w:r>
          </w:p>
        </w:tc>
        <w:tc>
          <w:tcPr/>
          <w:p>
            <w:pPr>
              <w:pStyle w:val="Compact"/>
              <w:jc w:val="left"/>
            </w:pPr>
            <w:r>
              <w:t xml:space="preserve">Two-step verification enforced for the agreed roles</w:t>
            </w:r>
          </w:p>
        </w:tc>
      </w:tr>
      <w:tr>
        <w:tc>
          <w:tcPr/>
          <w:p>
            <w:pPr>
              <w:pStyle w:val="Compact"/>
              <w:jc w:val="left"/>
            </w:pPr>
            <w:r>
              <w:t xml:space="preserve">12</w:t>
            </w:r>
          </w:p>
        </w:tc>
        <w:tc>
          <w:tcPr/>
          <w:p>
            <w:pPr>
              <w:pStyle w:val="Compact"/>
              <w:jc w:val="left"/>
            </w:pPr>
            <w:r>
              <w:t xml:space="preserve">IT security review completed</w:t>
            </w:r>
          </w:p>
        </w:tc>
      </w:tr>
      <w:tr>
        <w:tc>
          <w:tcPr/>
          <w:p>
            <w:pPr>
              <w:pStyle w:val="Compact"/>
              <w:jc w:val="left"/>
            </w:pPr>
            <w:r>
              <w:t xml:space="preserve">13</w:t>
            </w:r>
          </w:p>
        </w:tc>
        <w:tc>
          <w:tcPr/>
          <w:p>
            <w:pPr>
              <w:pStyle w:val="Compact"/>
              <w:jc w:val="left"/>
            </w:pPr>
            <w:r>
              <w:t xml:space="preserve">UAT signed off</w:t>
            </w:r>
          </w:p>
        </w:tc>
      </w:tr>
    </w:tbl>
    <w:bookmarkEnd w:id="59"/>
    <w:bookmarkEnd w:id="60"/>
    <w:bookmarkStart w:id="65" w:name="X9e690d91ff8758f00b42e95f9c3dd47f151b287"/>
    <w:p>
      <w:pPr>
        <w:pStyle w:val="Heading1"/>
      </w:pPr>
      <w:r>
        <w:t xml:space="preserve">10. Data migration, testing, training and documentation</w:t>
      </w:r>
    </w:p>
    <w:bookmarkStart w:id="61" w:name="data-migration"/>
    <w:p>
      <w:pPr>
        <w:pStyle w:val="Heading2"/>
      </w:pPr>
      <w:r>
        <w:t xml:space="preserve">10.1 Data migration</w:t>
      </w:r>
    </w:p>
    <w:tbl>
      <w:tblPr>
        <w:tblStyle w:val="Table"/>
        <w:tblW w:type="pct" w:w="5000"/>
        <w:tblLook w:firstRow="1" w:lastRow="0" w:firstColumn="0" w:lastColumn="0" w:noHBand="0" w:noVBand="0" w:val="0020"/>
        <w:jc w:val="start"/>
      </w:tblPr>
      <w:tblGrid>
        <w:gridCol w:w="2457"/>
        <w:gridCol w:w="1584"/>
        <w:gridCol w:w="1474"/>
        <w:gridCol w:w="2403"/>
      </w:tblGrid>
      <w:tr>
        <w:trPr>
          <w:tblHeader w:val="true"/>
          <w:tblHeader w:val="true"/>
        </w:trPr>
        <w:tc>
          <w:tcPr>
            <w:shd w:val="clear" w:color="auto" w:fill="1E60AE"/>
          </w:tcPr>
          <w:p>
            <w:pPr>
              <w:pStyle w:val="Compact"/>
              <w:jc w:val="left"/>
            </w:pPr>
            <w:r>
              <w:rPr>
                <w:b/>
                <w:color w:val="FFFFFF"/>
              </w:rPr>
              <w:t xml:space="preserve">Data</w:t>
            </w:r>
          </w:p>
        </w:tc>
        <w:tc>
          <w:tcPr>
            <w:shd w:val="clear" w:color="auto" w:fill="1E60AE"/>
          </w:tcPr>
          <w:p>
            <w:pPr>
              <w:pStyle w:val="Compact"/>
              <w:jc w:val="left"/>
            </w:pPr>
            <w:r>
              <w:rPr>
                <w:b/>
                <w:color w:val="FFFFFF"/>
              </w:rPr>
              <w:t xml:space="preserve">Source</w:t>
            </w:r>
          </w:p>
        </w:tc>
        <w:tc>
          <w:tcPr>
            <w:shd w:val="clear" w:color="auto" w:fill="1E60AE"/>
          </w:tcPr>
          <w:p>
            <w:pPr>
              <w:pStyle w:val="Compact"/>
              <w:jc w:val="left"/>
            </w:pPr>
            <w:r>
              <w:rPr>
                <w:b/>
                <w:color w:val="FFFFFF"/>
              </w:rPr>
              <w:t xml:space="preserve">Method</w:t>
            </w:r>
          </w:p>
        </w:tc>
        <w:tc>
          <w:tcPr>
            <w:shd w:val="clear" w:color="auto" w:fill="1E60AE"/>
          </w:tcPr>
          <w:p>
            <w:pPr>
              <w:pStyle w:val="Compact"/>
              <w:jc w:val="left"/>
            </w:pPr>
            <w:r>
              <w:rPr>
                <w:b/>
                <w:color w:val="FFFFFF"/>
              </w:rPr>
              <w:t xml:space="preserve">Check</w:t>
            </w:r>
          </w:p>
        </w:tc>
      </w:tr>
      <w:tr>
        <w:tc>
          <w:tcPr/>
          <w:p>
            <w:pPr>
              <w:pStyle w:val="Compact"/>
              <w:jc w:val="left"/>
            </w:pPr>
            <w:r>
              <w:t xml:space="preserve">Organisation structure (HQ, Tema, Takoradi, departments, units)</w:t>
            </w:r>
          </w:p>
        </w:tc>
        <w:tc>
          <w:tcPr/>
          <w:p>
            <w:pPr>
              <w:pStyle w:val="Compact"/>
              <w:jc w:val="left"/>
            </w:pPr>
            <w:r>
              <w:t xml:space="preserve">HR / organogram</w:t>
            </w:r>
          </w:p>
        </w:tc>
        <w:tc>
          <w:tcPr/>
          <w:p>
            <w:pPr>
              <w:pStyle w:val="Compact"/>
              <w:jc w:val="left"/>
            </w:pPr>
            <w:r>
              <w:t xml:space="preserve">Excel import</w:t>
            </w:r>
          </w:p>
        </w:tc>
        <w:tc>
          <w:tcPr/>
          <w:p>
            <w:pPr>
              <w:pStyle w:val="Compact"/>
              <w:jc w:val="left"/>
            </w:pPr>
            <w:r>
              <w:t xml:space="preserve">Count and hierarchy signed by system owner</w:t>
            </w:r>
          </w:p>
        </w:tc>
      </w:tr>
      <w:tr>
        <w:tc>
          <w:tcPr/>
          <w:p>
            <w:pPr>
              <w:pStyle w:val="Compact"/>
              <w:jc w:val="left"/>
            </w:pPr>
            <w:r>
              <w:t xml:space="preserve">Users</w:t>
            </w:r>
          </w:p>
        </w:tc>
        <w:tc>
          <w:tcPr/>
          <w:p>
            <w:pPr>
              <w:pStyle w:val="Compact"/>
              <w:jc w:val="left"/>
            </w:pPr>
            <w:r>
              <w:t xml:space="preserve">HR list and Active Directory</w:t>
            </w:r>
          </w:p>
        </w:tc>
        <w:tc>
          <w:tcPr/>
          <w:p>
            <w:pPr>
              <w:pStyle w:val="Compact"/>
              <w:jc w:val="left"/>
            </w:pPr>
            <w:r>
              <w:t xml:space="preserve">Created by administrators</w:t>
            </w:r>
          </w:p>
        </w:tc>
        <w:tc>
          <w:tcPr/>
          <w:p>
            <w:pPr>
              <w:pStyle w:val="Compact"/>
              <w:jc w:val="left"/>
            </w:pPr>
            <w:r>
              <w:t xml:space="preserve">Each user confirms access at training</w:t>
            </w:r>
          </w:p>
        </w:tc>
      </w:tr>
      <w:tr>
        <w:tc>
          <w:tcPr/>
          <w:p>
            <w:pPr>
              <w:pStyle w:val="Compact"/>
              <w:jc w:val="left"/>
            </w:pPr>
            <w:r>
              <w:t xml:space="preserve">Audit universe and risk ratings</w:t>
            </w:r>
          </w:p>
        </w:tc>
        <w:tc>
          <w:tcPr/>
          <w:p>
            <w:pPr>
              <w:pStyle w:val="Compact"/>
              <w:jc w:val="left"/>
            </w:pPr>
            <w:r>
              <w:t xml:space="preserve">Unit lists, IA Strategic Plan</w:t>
            </w:r>
          </w:p>
        </w:tc>
        <w:tc>
          <w:tcPr/>
          <w:p>
            <w:pPr>
              <w:pStyle w:val="Compact"/>
              <w:jc w:val="left"/>
            </w:pPr>
            <w:r>
              <w:t xml:space="preserve">Excel import</w:t>
            </w:r>
          </w:p>
        </w:tc>
        <w:tc>
          <w:tcPr/>
          <w:p>
            <w:pPr>
              <w:pStyle w:val="Compact"/>
              <w:jc w:val="left"/>
            </w:pPr>
            <w:r>
              <w:t xml:space="preserve">Reviewed by Audit Managers</w:t>
            </w:r>
          </w:p>
        </w:tc>
      </w:tr>
      <w:tr>
        <w:tc>
          <w:tcPr/>
          <w:p>
            <w:pPr>
              <w:pStyle w:val="Compact"/>
              <w:jc w:val="left"/>
            </w:pPr>
            <w:r>
              <w:t xml:space="preserve">Current annual plan</w:t>
            </w:r>
          </w:p>
        </w:tc>
        <w:tc>
          <w:tcPr/>
          <w:p>
            <w:pPr>
              <w:pStyle w:val="Compact"/>
              <w:jc w:val="left"/>
            </w:pPr>
            <w:r>
              <w:t xml:space="preserve">Approved 2026 plan</w:t>
            </w:r>
          </w:p>
        </w:tc>
        <w:tc>
          <w:tcPr/>
          <w:p>
            <w:pPr>
              <w:pStyle w:val="Compact"/>
              <w:jc w:val="left"/>
            </w:pPr>
            <w:r>
              <w:t xml:space="preserve">Entered or imported</w:t>
            </w:r>
          </w:p>
        </w:tc>
        <w:tc>
          <w:tcPr/>
          <w:p>
            <w:pPr>
              <w:pStyle w:val="Compact"/>
              <w:jc w:val="left"/>
            </w:pPr>
            <w:r>
              <w:t xml:space="preserve">Agrees to the approved plan</w:t>
            </w:r>
          </w:p>
        </w:tc>
      </w:tr>
      <w:tr>
        <w:tc>
          <w:tcPr/>
          <w:p>
            <w:pPr>
              <w:pStyle w:val="Compact"/>
              <w:jc w:val="left"/>
            </w:pPr>
            <w:r>
              <w:t xml:space="preserve">Open engagements</w:t>
            </w:r>
          </w:p>
        </w:tc>
        <w:tc>
          <w:tcPr/>
          <w:p>
            <w:pPr>
              <w:pStyle w:val="Compact"/>
              <w:jc w:val="left"/>
            </w:pPr>
            <w:r>
              <w:t xml:space="preserve">Current files</w:t>
            </w:r>
          </w:p>
        </w:tc>
        <w:tc>
          <w:tcPr/>
          <w:p>
            <w:pPr>
              <w:pStyle w:val="Compact"/>
              <w:jc w:val="left"/>
            </w:pPr>
            <w:r>
              <w:t xml:space="preserve">Entered by the audit team</w:t>
            </w:r>
          </w:p>
        </w:tc>
        <w:tc>
          <w:tcPr/>
          <w:p>
            <w:pPr>
              <w:pStyle w:val="Compact"/>
              <w:jc w:val="left"/>
            </w:pPr>
            <w:r>
              <w:t xml:space="preserve">Lead auditor confirms</w:t>
            </w:r>
          </w:p>
        </w:tc>
      </w:tr>
      <w:tr>
        <w:tc>
          <w:tcPr/>
          <w:p>
            <w:pPr>
              <w:pStyle w:val="Compact"/>
              <w:jc w:val="left"/>
            </w:pPr>
            <w:r>
              <w:t xml:space="preserve">Open findings and actions</w:t>
            </w:r>
          </w:p>
        </w:tc>
        <w:tc>
          <w:tcPr/>
          <w:p>
            <w:pPr>
              <w:pStyle w:val="Compact"/>
              <w:jc w:val="left"/>
            </w:pPr>
            <w:r>
              <w:t xml:space="preserve">Follow-up registers</w:t>
            </w:r>
          </w:p>
        </w:tc>
        <w:tc>
          <w:tcPr/>
          <w:p>
            <w:pPr>
              <w:pStyle w:val="Compact"/>
              <w:jc w:val="left"/>
            </w:pPr>
            <w:r>
              <w:t xml:space="preserve">Excel import</w:t>
            </w:r>
          </w:p>
        </w:tc>
        <w:tc>
          <w:tcPr/>
          <w:p>
            <w:pPr>
              <w:pStyle w:val="Compact"/>
              <w:jc w:val="left"/>
            </w:pPr>
            <w:r>
              <w:t xml:space="preserve">Reconciled to the register total; signed off</w:t>
            </w:r>
          </w:p>
        </w:tc>
      </w:tr>
      <w:tr>
        <w:tc>
          <w:tcPr/>
          <w:p>
            <w:pPr>
              <w:pStyle w:val="Compact"/>
              <w:jc w:val="left"/>
            </w:pPr>
            <w:r>
              <w:t xml:space="preserve">Historical closed reports</w:t>
            </w:r>
          </w:p>
        </w:tc>
        <w:tc>
          <w:tcPr/>
          <w:p>
            <w:pPr>
              <w:pStyle w:val="Compact"/>
              <w:jc w:val="left"/>
            </w:pPr>
            <w:r>
              <w:t xml:space="preserve">Archive</w:t>
            </w:r>
          </w:p>
        </w:tc>
        <w:tc>
          <w:tcPr/>
          <w:p>
            <w:pPr>
              <w:pStyle w:val="Compact"/>
              <w:jc w:val="left"/>
            </w:pPr>
            <w:r>
              <w:t xml:space="preserve">Optional: attach PDF copies</w:t>
            </w:r>
          </w:p>
        </w:tc>
        <w:tc>
          <w:tcPr/>
          <w:p>
            <w:pPr>
              <w:pStyle w:val="Compact"/>
              <w:jc w:val="left"/>
            </w:pPr>
            <w:r>
              <w:t xml:space="preserve">Kept read-only</w:t>
            </w:r>
          </w:p>
        </w:tc>
      </w:tr>
    </w:tbl>
    <w:p>
      <w:pPr>
        <w:pStyle w:val="BodyText"/>
      </w:pPr>
      <w:r>
        <w:t xml:space="preserve">The production system starts empty. Demonstration data is never loaded into production.</w:t>
      </w:r>
    </w:p>
    <w:bookmarkEnd w:id="61"/>
    <w:bookmarkStart w:id="62" w:name="testing-and-quality-assurance"/>
    <w:p>
      <w:pPr>
        <w:pStyle w:val="Heading2"/>
      </w:pPr>
      <w:r>
        <w:t xml:space="preserve">10.2 Testing and quality assurance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1E60AE"/>
          </w:tcPr>
          <w:p>
            <w:pPr>
              <w:pStyle w:val="Compact"/>
              <w:jc w:val="left"/>
            </w:pPr>
            <w:r>
              <w:rPr>
                <w:b/>
                <w:color w:val="FFFFFF"/>
              </w:rPr>
              <w:t xml:space="preserve">Test layer</w:t>
            </w:r>
          </w:p>
        </w:tc>
        <w:tc>
          <w:tcPr>
            <w:shd w:val="clear" w:color="auto" w:fill="1E60AE"/>
          </w:tcPr>
          <w:p>
            <w:pPr>
              <w:pStyle w:val="Compact"/>
              <w:jc w:val="left"/>
            </w:pPr>
            <w:r>
              <w:rPr>
                <w:b/>
                <w:color w:val="FFFFFF"/>
              </w:rPr>
              <w:t xml:space="preserve">Result to date</w:t>
            </w:r>
          </w:p>
        </w:tc>
      </w:tr>
      <w:tr>
        <w:tc>
          <w:tcPr/>
          <w:p>
            <w:pPr>
              <w:pStyle w:val="Compact"/>
              <w:jc w:val="left"/>
            </w:pPr>
            <w:r>
              <w:t xml:space="preserve">Automated system tests (API, rules, permissions, workflows)</w:t>
            </w:r>
          </w:p>
        </w:tc>
        <w:tc>
          <w:tcPr/>
          <w:p>
            <w:pPr>
              <w:pStyle w:val="Compact"/>
              <w:jc w:val="left"/>
            </w:pPr>
            <w:r>
              <w:t xml:space="preserve">150 passing</w:t>
            </w:r>
          </w:p>
        </w:tc>
      </w:tr>
      <w:tr>
        <w:tc>
          <w:tcPr/>
          <w:p>
            <w:pPr>
              <w:pStyle w:val="Compact"/>
              <w:jc w:val="left"/>
            </w:pPr>
            <w:r>
              <w:t xml:space="preserve">Browser tests (screens, roles, review chain)</w:t>
            </w:r>
          </w:p>
        </w:tc>
        <w:tc>
          <w:tcPr/>
          <w:p>
            <w:pPr>
              <w:pStyle w:val="Compact"/>
              <w:jc w:val="left"/>
            </w:pPr>
            <w:r>
              <w:t xml:space="preserve">9 passing</w:t>
            </w:r>
          </w:p>
        </w:tc>
      </w:tr>
      <w:tr>
        <w:tc>
          <w:tcPr/>
          <w:p>
            <w:pPr>
              <w:pStyle w:val="Compact"/>
              <w:jc w:val="left"/>
            </w:pPr>
            <w:r>
              <w:t xml:space="preserve">Scripted end-to-end QA (75 checks)</w:t>
            </w:r>
          </w:p>
        </w:tc>
        <w:tc>
          <w:tcPr/>
          <w:p>
            <w:pPr>
              <w:pStyle w:val="Compact"/>
              <w:jc w:val="left"/>
            </w:pPr>
            <w:r>
              <w:t xml:space="preserve">72 pass, 1 open (QA-02), 2 information only</w:t>
            </w:r>
          </w:p>
        </w:tc>
      </w:tr>
      <w:tr>
        <w:tc>
          <w:tcPr/>
          <w:p>
            <w:pPr>
              <w:pStyle w:val="Compact"/>
              <w:jc w:val="left"/>
            </w:pPr>
            <w:r>
              <w:t xml:space="preserve">Security: static analysis, dependency audit, access matrix across all roles</w:t>
            </w:r>
          </w:p>
        </w:tc>
        <w:tc>
          <w:tcPr/>
          <w:p>
            <w:pPr>
              <w:pStyle w:val="Compact"/>
              <w:jc w:val="left"/>
            </w:pPr>
            <w:r>
              <w:t xml:space="preserve">No High findings; four issues found and fixed (QA-01, 04, 05, 06)</w:t>
            </w:r>
          </w:p>
        </w:tc>
      </w:tr>
      <w:tr>
        <w:tc>
          <w:tcPr/>
          <w:p>
            <w:pPr>
              <w:pStyle w:val="Compact"/>
              <w:jc w:val="left"/>
            </w:pPr>
            <w:r>
              <w:t xml:space="preserve">Accessibility (WCAG 2.2 AA target)</w:t>
            </w:r>
          </w:p>
        </w:tc>
        <w:tc>
          <w:tcPr/>
          <w:p>
            <w:pPr>
              <w:pStyle w:val="Compact"/>
              <w:jc w:val="left"/>
            </w:pPr>
            <w:r>
              <w:t xml:space="preserve">0 issues on 38 desktop screens; 3 low issues at phone width (QA-08)</w:t>
            </w:r>
          </w:p>
        </w:tc>
      </w:tr>
      <w:tr>
        <w:tc>
          <w:tcPr/>
          <w:p>
            <w:pPr>
              <w:pStyle w:val="Compact"/>
              <w:jc w:val="left"/>
            </w:pPr>
            <w:r>
              <w:t xml:space="preserve">Still to do</w:t>
            </w:r>
          </w:p>
        </w:tc>
        <w:tc>
          <w:tcPr/>
          <w:p>
            <w:pPr>
              <w:pStyle w:val="Compact"/>
              <w:jc w:val="left"/>
            </w:pPr>
            <w:r>
              <w:t xml:space="preserve">Run on the target GPHA server; UAT pilot; IT security review</w:t>
            </w:r>
          </w:p>
        </w:tc>
      </w:tr>
    </w:tbl>
    <w:p>
      <w:pPr>
        <w:pStyle w:val="BodyText"/>
      </w:pPr>
      <w:r>
        <w:rPr>
          <w:bCs/>
          <w:b/>
        </w:rPr>
        <w:t xml:space="preserve">Open QA items:</w:t>
      </w:r>
      <w:r>
        <w:t xml:space="preserve"> </w:t>
      </w:r>
      <w:r>
        <w:t xml:space="preserve">QA-02 concurrent editing (fix planned in Stage 5), QA-03 Audit Committee accounts (decision D13), QA-08 minor phone-width issues (fix planned in Stage 5).</w:t>
      </w:r>
    </w:p>
    <w:bookmarkEnd w:id="62"/>
    <w:bookmarkStart w:id="63" w:name="training"/>
    <w:p>
      <w:pPr>
        <w:pStyle w:val="Heading2"/>
      </w:pPr>
      <w:r>
        <w:t xml:space="preserve">10.3 Training</w:t>
      </w:r>
    </w:p>
    <w:tbl>
      <w:tblPr>
        <w:tblStyle w:val="Table"/>
        <w:tblW w:type="pct" w:w="5000"/>
        <w:tblLook w:firstRow="1" w:lastRow="0" w:firstColumn="0" w:lastColumn="0" w:noHBand="0" w:noVBand="0" w:val="0020"/>
        <w:jc w:val="start"/>
      </w:tblPr>
      <w:tblGrid>
        <w:gridCol w:w="3528"/>
        <w:gridCol w:w="3528"/>
        <w:gridCol w:w="862"/>
      </w:tblGrid>
      <w:tr>
        <w:trPr>
          <w:tblHeader w:val="true"/>
          <w:tblHeader w:val="true"/>
        </w:trPr>
        <w:tc>
          <w:tcPr>
            <w:shd w:val="clear" w:color="auto" w:fill="1E60AE"/>
          </w:tcPr>
          <w:p>
            <w:pPr>
              <w:pStyle w:val="Compact"/>
              <w:jc w:val="left"/>
            </w:pPr>
            <w:r>
              <w:rPr>
                <w:b/>
                <w:color w:val="FFFFFF"/>
              </w:rPr>
              <w:t xml:space="preserve">Audience</w:t>
            </w:r>
          </w:p>
        </w:tc>
        <w:tc>
          <w:tcPr>
            <w:shd w:val="clear" w:color="auto" w:fill="1E60AE"/>
          </w:tcPr>
          <w:p>
            <w:pPr>
              <w:pStyle w:val="Compact"/>
              <w:jc w:val="left"/>
            </w:pPr>
            <w:r>
              <w:rPr>
                <w:b/>
                <w:color w:val="FFFFFF"/>
              </w:rPr>
              <w:t xml:space="preserve">Content</w:t>
            </w:r>
          </w:p>
        </w:tc>
        <w:tc>
          <w:tcPr>
            <w:shd w:val="clear" w:color="auto" w:fill="1E60AE"/>
          </w:tcPr>
          <w:p>
            <w:pPr>
              <w:pStyle w:val="Compact"/>
              <w:jc w:val="left"/>
            </w:pPr>
            <w:r>
              <w:rPr>
                <w:b/>
                <w:color w:val="FFFFFF"/>
              </w:rPr>
              <w:t xml:space="preserve">Duration</w:t>
            </w:r>
          </w:p>
        </w:tc>
      </w:tr>
      <w:tr>
        <w:tc>
          <w:tcPr/>
          <w:p>
            <w:pPr>
              <w:pStyle w:val="Compact"/>
              <w:jc w:val="left"/>
            </w:pPr>
            <w:r>
              <w:t xml:space="preserve">Super Administrators and Administrators</w:t>
            </w:r>
          </w:p>
        </w:tc>
        <w:tc>
          <w:tcPr/>
          <w:p>
            <w:pPr>
              <w:pStyle w:val="Compact"/>
              <w:jc w:val="left"/>
            </w:pPr>
            <w:r>
              <w:t xml:space="preserve">Users, roles, configuration, backups, logs, support</w:t>
            </w:r>
          </w:p>
        </w:tc>
        <w:tc>
          <w:tcPr/>
          <w:p>
            <w:pPr>
              <w:pStyle w:val="Compact"/>
              <w:jc w:val="left"/>
            </w:pPr>
            <w:r>
              <w:t xml:space="preserve">1 day</w:t>
            </w:r>
          </w:p>
        </w:tc>
      </w:tr>
      <w:tr>
        <w:tc>
          <w:tcPr/>
          <w:p>
            <w:pPr>
              <w:pStyle w:val="Compact"/>
              <w:jc w:val="left"/>
            </w:pPr>
            <w:r>
              <w:t xml:space="preserve">Managers (GM Audit, PIA, Audit Managers, Unit Heads)</w:t>
            </w:r>
          </w:p>
        </w:tc>
        <w:tc>
          <w:tcPr/>
          <w:p>
            <w:pPr>
              <w:pStyle w:val="Compact"/>
              <w:jc w:val="left"/>
            </w:pPr>
            <w:r>
              <w:t xml:space="preserve">Universe, plan, assignment, review and approval, Committee pack, analytics</w:t>
            </w:r>
          </w:p>
        </w:tc>
        <w:tc>
          <w:tcPr/>
          <w:p>
            <w:pPr>
              <w:pStyle w:val="Compact"/>
              <w:jc w:val="left"/>
            </w:pPr>
            <w:r>
              <w:t xml:space="preserve">1 day</w:t>
            </w:r>
          </w:p>
        </w:tc>
      </w:tr>
      <w:tr>
        <w:tc>
          <w:tcPr/>
          <w:p>
            <w:pPr>
              <w:pStyle w:val="Compact"/>
              <w:jc w:val="left"/>
            </w:pPr>
            <w:r>
              <w:t xml:space="preserve">Auditors</w:t>
            </w:r>
          </w:p>
        </w:tc>
        <w:tc>
          <w:tcPr/>
          <w:p>
            <w:pPr>
              <w:pStyle w:val="Compact"/>
              <w:jc w:val="left"/>
            </w:pPr>
            <w:r>
              <w:t xml:space="preserve">Audits, programmes, working papers, requests, issues, follow-up</w:t>
            </w:r>
          </w:p>
        </w:tc>
        <w:tc>
          <w:tcPr/>
          <w:p>
            <w:pPr>
              <w:pStyle w:val="Compact"/>
              <w:jc w:val="left"/>
            </w:pPr>
            <w:r>
              <w:t xml:space="preserve">1.5 days</w:t>
            </w:r>
          </w:p>
        </w:tc>
      </w:tr>
      <w:tr>
        <w:tc>
          <w:tcPr/>
          <w:p>
            <w:pPr>
              <w:pStyle w:val="Compact"/>
              <w:jc w:val="left"/>
            </w:pPr>
            <w:r>
              <w:t xml:space="preserve">Audit Clients</w:t>
            </w:r>
          </w:p>
        </w:tc>
        <w:tc>
          <w:tcPr/>
          <w:p>
            <w:pPr>
              <w:pStyle w:val="Compact"/>
              <w:jc w:val="left"/>
            </w:pPr>
            <w:r>
              <w:t xml:space="preserve">Responding to requests and issues; updating actions</w:t>
            </w:r>
          </w:p>
        </w:tc>
        <w:tc>
          <w:tcPr/>
          <w:p>
            <w:pPr>
              <w:pStyle w:val="Compact"/>
              <w:jc w:val="left"/>
            </w:pPr>
            <w:r>
              <w:t xml:space="preserve">1 hour</w:t>
            </w:r>
          </w:p>
        </w:tc>
      </w:tr>
      <w:tr>
        <w:tc>
          <w:tcPr/>
          <w:p>
            <w:pPr>
              <w:pStyle w:val="Compact"/>
              <w:jc w:val="left"/>
            </w:pPr>
            <w:r>
              <w:t xml:space="preserve">Super users (one per location)</w:t>
            </w:r>
          </w:p>
        </w:tc>
        <w:tc>
          <w:tcPr/>
          <w:p>
            <w:pPr>
              <w:pStyle w:val="Compact"/>
              <w:jc w:val="left"/>
            </w:pPr>
            <w:r>
              <w:t xml:space="preserve">All of the above plus first-line support</w:t>
            </w:r>
          </w:p>
        </w:tc>
        <w:tc>
          <w:tcPr/>
          <w:p>
            <w:pPr>
              <w:pStyle w:val="Compact"/>
              <w:jc w:val="left"/>
            </w:pPr>
            <w:r>
              <w:t xml:space="preserve">2 days</w:t>
            </w:r>
          </w:p>
        </w:tc>
      </w:tr>
    </w:tbl>
    <w:p>
      <w:pPr>
        <w:pStyle w:val="BodyText"/>
      </w:pPr>
      <w:r>
        <w:t xml:space="preserve">Materials: Training Guide (Word) with exercises and assessment, training slide deck (PowerPoint), User Manual with screenshots.</w:t>
      </w:r>
    </w:p>
    <w:bookmarkEnd w:id="63"/>
    <w:bookmarkStart w:id="64" w:name="documentation-delivered"/>
    <w:p>
      <w:pPr>
        <w:pStyle w:val="Heading2"/>
      </w:pPr>
      <w:r>
        <w:t xml:space="preserve">10.4 Documentation delivered</w:t>
      </w:r>
    </w:p>
    <w:tbl>
      <w:tblPr>
        <w:tblStyle w:val="Table"/>
        <w:tblW w:type="pct" w:w="5000"/>
        <w:tblLook w:firstRow="1" w:lastRow="0" w:firstColumn="0" w:lastColumn="0" w:noHBand="0" w:noVBand="0" w:val="0020"/>
        <w:jc w:val="start"/>
      </w:tblPr>
      <w:tblGrid>
        <w:gridCol w:w="1193"/>
        <w:gridCol w:w="4882"/>
        <w:gridCol w:w="1844"/>
      </w:tblGrid>
      <w:tr>
        <w:trPr>
          <w:tblHeader w:val="true"/>
          <w:tblHeader w:val="true"/>
        </w:trPr>
        <w:tc>
          <w:tcPr>
            <w:shd w:val="clear" w:color="auto" w:fill="1E60AE"/>
          </w:tcPr>
          <w:p>
            <w:pPr>
              <w:pStyle w:val="Compact"/>
              <w:jc w:val="left"/>
            </w:pPr>
            <w:r>
              <w:rPr>
                <w:b/>
                <w:color w:val="FFFFFF"/>
              </w:rPr>
              <w:t xml:space="preserve">#</w:t>
            </w:r>
          </w:p>
        </w:tc>
        <w:tc>
          <w:tcPr>
            <w:shd w:val="clear" w:color="auto" w:fill="1E60AE"/>
          </w:tcPr>
          <w:p>
            <w:pPr>
              <w:pStyle w:val="Compact"/>
              <w:jc w:val="left"/>
            </w:pPr>
            <w:r>
              <w:rPr>
                <w:b/>
                <w:color w:val="FFFFFF"/>
              </w:rPr>
              <w:t xml:space="preserve">Document</w:t>
            </w:r>
          </w:p>
        </w:tc>
        <w:tc>
          <w:tcPr>
            <w:shd w:val="clear" w:color="auto" w:fill="1E60AE"/>
          </w:tcPr>
          <w:p>
            <w:pPr>
              <w:pStyle w:val="Compact"/>
              <w:jc w:val="left"/>
            </w:pPr>
            <w:r>
              <w:rPr>
                <w:b/>
                <w:color w:val="FFFFFF"/>
              </w:rPr>
              <w:t xml:space="preserve">Format</w:t>
            </w:r>
          </w:p>
        </w:tc>
      </w:tr>
      <w:tr>
        <w:tc>
          <w:tcPr/>
          <w:p>
            <w:pPr>
              <w:pStyle w:val="Compact"/>
              <w:jc w:val="left"/>
            </w:pPr>
            <w:r>
              <w:t xml:space="preserve">00</w:t>
            </w:r>
          </w:p>
        </w:tc>
        <w:tc>
          <w:tcPr/>
          <w:p>
            <w:pPr>
              <w:pStyle w:val="Compact"/>
              <w:jc w:val="left"/>
            </w:pPr>
            <w:r>
              <w:t xml:space="preserve">Documentation index</w:t>
            </w:r>
          </w:p>
        </w:tc>
        <w:tc>
          <w:tcPr/>
          <w:p>
            <w:pPr>
              <w:pStyle w:val="Compact"/>
              <w:jc w:val="left"/>
            </w:pPr>
            <w:r>
              <w:t xml:space="preserve">Word and Markdown</w:t>
            </w:r>
          </w:p>
        </w:tc>
      </w:tr>
      <w:tr>
        <w:tc>
          <w:tcPr/>
          <w:p>
            <w:pPr>
              <w:pStyle w:val="Compact"/>
              <w:jc w:val="left"/>
            </w:pPr>
            <w:r>
              <w:t xml:space="preserve">01</w:t>
            </w:r>
          </w:p>
        </w:tc>
        <w:tc>
          <w:tcPr/>
          <w:p>
            <w:pPr>
              <w:pStyle w:val="Compact"/>
              <w:jc w:val="left"/>
            </w:pPr>
            <w:r>
              <w:t xml:space="preserve">Technical documentation</w:t>
            </w:r>
          </w:p>
        </w:tc>
        <w:tc>
          <w:tcPr/>
          <w:p>
            <w:pPr>
              <w:pStyle w:val="Compact"/>
              <w:jc w:val="left"/>
            </w:pPr>
            <w:r>
              <w:t xml:space="preserve">Word and Markdown</w:t>
            </w:r>
          </w:p>
        </w:tc>
      </w:tr>
      <w:tr>
        <w:tc>
          <w:tcPr/>
          <w:p>
            <w:pPr>
              <w:pStyle w:val="Compact"/>
              <w:jc w:val="left"/>
            </w:pPr>
            <w:r>
              <w:t xml:space="preserve">02</w:t>
            </w:r>
          </w:p>
        </w:tc>
        <w:tc>
          <w:tcPr/>
          <w:p>
            <w:pPr>
              <w:pStyle w:val="Compact"/>
              <w:jc w:val="left"/>
            </w:pPr>
            <w:r>
              <w:t xml:space="preserve">Technology stack</w:t>
            </w:r>
          </w:p>
        </w:tc>
        <w:tc>
          <w:tcPr/>
          <w:p>
            <w:pPr>
              <w:pStyle w:val="Compact"/>
              <w:jc w:val="left"/>
            </w:pPr>
            <w:r>
              <w:t xml:space="preserve">Word and Markdown</w:t>
            </w:r>
          </w:p>
        </w:tc>
      </w:tr>
      <w:tr>
        <w:tc>
          <w:tcPr/>
          <w:p>
            <w:pPr>
              <w:pStyle w:val="Compact"/>
              <w:jc w:val="left"/>
            </w:pPr>
            <w:r>
              <w:t xml:space="preserve">03</w:t>
            </w:r>
          </w:p>
        </w:tc>
        <w:tc>
          <w:tcPr/>
          <w:p>
            <w:pPr>
              <w:pStyle w:val="Compact"/>
              <w:jc w:val="left"/>
            </w:pPr>
            <w:r>
              <w:t xml:space="preserve">Administration guide</w:t>
            </w:r>
          </w:p>
        </w:tc>
        <w:tc>
          <w:tcPr/>
          <w:p>
            <w:pPr>
              <w:pStyle w:val="Compact"/>
              <w:jc w:val="left"/>
            </w:pPr>
            <w:r>
              <w:t xml:space="preserve">Word and Markdown</w:t>
            </w:r>
          </w:p>
        </w:tc>
      </w:tr>
      <w:tr>
        <w:tc>
          <w:tcPr/>
          <w:p>
            <w:pPr>
              <w:pStyle w:val="Compact"/>
              <w:jc w:val="left"/>
            </w:pPr>
            <w:r>
              <w:t xml:space="preserve">04</w:t>
            </w:r>
          </w:p>
        </w:tc>
        <w:tc>
          <w:tcPr/>
          <w:p>
            <w:pPr>
              <w:pStyle w:val="Compact"/>
              <w:jc w:val="left"/>
            </w:pPr>
            <w:r>
              <w:t xml:space="preserve">Governance and operations (decisions, change control, support, UAT, go-live)</w:t>
            </w:r>
          </w:p>
        </w:tc>
        <w:tc>
          <w:tcPr/>
          <w:p>
            <w:pPr>
              <w:pStyle w:val="Compact"/>
              <w:jc w:val="left"/>
            </w:pPr>
            <w:r>
              <w:t xml:space="preserve">Word and Markdown</w:t>
            </w:r>
          </w:p>
        </w:tc>
      </w:tr>
      <w:tr>
        <w:tc>
          <w:tcPr/>
          <w:p>
            <w:pPr>
              <w:pStyle w:val="Compact"/>
              <w:jc w:val="left"/>
            </w:pPr>
            <w:r>
              <w:t xml:space="preserve">05</w:t>
            </w:r>
          </w:p>
        </w:tc>
        <w:tc>
          <w:tcPr/>
          <w:p>
            <w:pPr>
              <w:pStyle w:val="Compact"/>
              <w:jc w:val="left"/>
            </w:pPr>
            <w:r>
              <w:t xml:space="preserve">User manual with screenshots</w:t>
            </w:r>
          </w:p>
        </w:tc>
        <w:tc>
          <w:tcPr/>
          <w:p>
            <w:pPr>
              <w:pStyle w:val="Compact"/>
              <w:jc w:val="left"/>
            </w:pPr>
            <w:r>
              <w:t xml:space="preserve">Word and Markdown</w:t>
            </w:r>
          </w:p>
        </w:tc>
      </w:tr>
      <w:tr>
        <w:tc>
          <w:tcPr/>
          <w:p>
            <w:pPr>
              <w:pStyle w:val="Compact"/>
              <w:jc w:val="left"/>
            </w:pPr>
            <w:r>
              <w:t xml:space="preserve">06</w:t>
            </w:r>
          </w:p>
        </w:tc>
        <w:tc>
          <w:tcPr/>
          <w:p>
            <w:pPr>
              <w:pStyle w:val="Compact"/>
              <w:jc w:val="left"/>
            </w:pPr>
            <w:r>
              <w:t xml:space="preserve">Training guide</w:t>
            </w:r>
          </w:p>
        </w:tc>
        <w:tc>
          <w:tcPr/>
          <w:p>
            <w:pPr>
              <w:pStyle w:val="Compact"/>
              <w:jc w:val="left"/>
            </w:pPr>
            <w:r>
              <w:t xml:space="preserve">Word and Markdown</w:t>
            </w:r>
          </w:p>
        </w:tc>
      </w:tr>
      <w:tr>
        <w:tc>
          <w:tcPr/>
          <w:p>
            <w:pPr>
              <w:pStyle w:val="Compact"/>
              <w:jc w:val="left"/>
            </w:pPr>
            <w:r>
              <w:t xml:space="preserve">07</w:t>
            </w:r>
          </w:p>
        </w:tc>
        <w:tc>
          <w:tcPr/>
          <w:p>
            <w:pPr>
              <w:pStyle w:val="Compact"/>
              <w:jc w:val="left"/>
            </w:pPr>
            <w:r>
              <w:t xml:space="preserve">Training deck</w:t>
            </w:r>
          </w:p>
        </w:tc>
        <w:tc>
          <w:tcPr/>
          <w:p>
            <w:pPr>
              <w:pStyle w:val="Compact"/>
              <w:jc w:val="left"/>
            </w:pPr>
            <w:r>
              <w:t xml:space="preserve">PowerPoint</w:t>
            </w:r>
          </w:p>
        </w:tc>
      </w:tr>
      <w:tr>
        <w:tc>
          <w:tcPr/>
          <w:p>
            <w:pPr>
              <w:pStyle w:val="Compact"/>
              <w:jc w:val="left"/>
            </w:pPr>
            <w:r>
              <w:t xml:space="preserve">–</w:t>
            </w:r>
          </w:p>
        </w:tc>
        <w:tc>
          <w:tcPr/>
          <w:p>
            <w:pPr>
              <w:pStyle w:val="Compact"/>
              <w:jc w:val="left"/>
            </w:pPr>
            <w:r>
              <w:t xml:space="preserve">QA report (15 October 2026)</w:t>
            </w:r>
          </w:p>
        </w:tc>
        <w:tc>
          <w:tcPr/>
          <w:p>
            <w:pPr>
              <w:pStyle w:val="Compact"/>
              <w:jc w:val="left"/>
            </w:pPr>
            <w:r>
              <w:t xml:space="preserve">Markdown</w:t>
            </w:r>
          </w:p>
        </w:tc>
      </w:tr>
      <w:tr>
        <w:tc>
          <w:tcPr/>
          <w:p>
            <w:pPr>
              <w:pStyle w:val="Compact"/>
              <w:jc w:val="left"/>
            </w:pPr>
            <w:r>
              <w:t xml:space="preserve">–</w:t>
            </w:r>
          </w:p>
        </w:tc>
        <w:tc>
          <w:tcPr/>
          <w:p>
            <w:pPr>
              <w:pStyle w:val="Compact"/>
              <w:jc w:val="left"/>
            </w:pPr>
            <w:r>
              <w:t xml:space="preserve">Production deployment guide (13 steps)</w:t>
            </w:r>
          </w:p>
        </w:tc>
        <w:tc>
          <w:tcPr/>
          <w:p>
            <w:pPr>
              <w:pStyle w:val="Compact"/>
              <w:jc w:val="left"/>
            </w:pPr>
            <w:r>
              <w:t xml:space="preserve">Markdown</w:t>
            </w:r>
          </w:p>
        </w:tc>
      </w:tr>
      <w:tr>
        <w:tc>
          <w:tcPr/>
          <w:p>
            <w:pPr>
              <w:pStyle w:val="Compact"/>
              <w:jc w:val="left"/>
            </w:pPr>
            <w:r>
              <w:t xml:space="preserve">–</w:t>
            </w:r>
          </w:p>
        </w:tc>
        <w:tc>
          <w:tcPr/>
          <w:p>
            <w:pPr>
              <w:pStyle w:val="Compact"/>
              <w:jc w:val="left"/>
            </w:pPr>
            <w:r>
              <w:t xml:space="preserve">This MAINPLAN</w:t>
            </w:r>
          </w:p>
        </w:tc>
        <w:tc>
          <w:tcPr/>
          <w:p>
            <w:pPr>
              <w:pStyle w:val="Compact"/>
              <w:jc w:val="left"/>
            </w:pPr>
            <w:r>
              <w:t xml:space="preserve">Word and Markdown</w:t>
            </w:r>
          </w:p>
        </w:tc>
      </w:tr>
    </w:tbl>
    <w:bookmarkEnd w:id="64"/>
    <w:bookmarkEnd w:id="65"/>
    <w:bookmarkStart w:id="71" w:name="governance-risks-resources-and-support"/>
    <w:p>
      <w:pPr>
        <w:pStyle w:val="Heading1"/>
      </w:pPr>
      <w:r>
        <w:t xml:space="preserve">11. Governance, risks, resources and support</w:t>
      </w:r>
    </w:p>
    <w:bookmarkStart w:id="66" w:name="project-governance"/>
    <w:p>
      <w:pPr>
        <w:pStyle w:val="Heading2"/>
      </w:pPr>
      <w:r>
        <w:t xml:space="preserve">11.1 Project governance</w:t>
      </w:r>
    </w:p>
    <w:tbl>
      <w:tblPr>
        <w:tblStyle w:val="Table"/>
        <w:tblW w:type="pct" w:w="5000"/>
        <w:tblLook w:firstRow="1" w:lastRow="0" w:firstColumn="0" w:lastColumn="0" w:noHBand="0" w:noVBand="0" w:val="0020"/>
        <w:jc w:val="start"/>
      </w:tblPr>
      <w:tblGrid>
        <w:gridCol w:w="1776"/>
        <w:gridCol w:w="2812"/>
        <w:gridCol w:w="3330"/>
      </w:tblGrid>
      <w:tr>
        <w:trPr>
          <w:tblHeader w:val="true"/>
          <w:tblHeader w:val="true"/>
        </w:trPr>
        <w:tc>
          <w:tcPr>
            <w:shd w:val="clear" w:color="auto" w:fill="1E60AE"/>
          </w:tcPr>
          <w:p>
            <w:pPr>
              <w:pStyle w:val="Compact"/>
              <w:jc w:val="left"/>
            </w:pPr>
            <w:r>
              <w:rPr>
                <w:b/>
                <w:color w:val="FFFFFF"/>
              </w:rPr>
              <w:t xml:space="preserve">Role</w:t>
            </w:r>
          </w:p>
        </w:tc>
        <w:tc>
          <w:tcPr>
            <w:shd w:val="clear" w:color="auto" w:fill="1E60AE"/>
          </w:tcPr>
          <w:p>
            <w:pPr>
              <w:pStyle w:val="Compact"/>
              <w:jc w:val="left"/>
            </w:pPr>
            <w:r>
              <w:rPr>
                <w:b/>
                <w:color w:val="FFFFFF"/>
              </w:rPr>
              <w:t xml:space="preserve">Holder (GPHA to name)</w:t>
            </w:r>
          </w:p>
        </w:tc>
        <w:tc>
          <w:tcPr>
            <w:shd w:val="clear" w:color="auto" w:fill="1E60AE"/>
          </w:tcPr>
          <w:p>
            <w:pPr>
              <w:pStyle w:val="Compact"/>
              <w:jc w:val="left"/>
            </w:pPr>
            <w:r>
              <w:rPr>
                <w:b/>
                <w:color w:val="FFFFFF"/>
              </w:rPr>
              <w:t xml:space="preserve">Responsibility</w:t>
            </w:r>
          </w:p>
        </w:tc>
      </w:tr>
      <w:tr>
        <w:tc>
          <w:tcPr/>
          <w:p>
            <w:pPr>
              <w:pStyle w:val="Compact"/>
              <w:jc w:val="left"/>
            </w:pPr>
            <w:r>
              <w:t xml:space="preserve">Project sponsor</w:t>
            </w:r>
          </w:p>
        </w:tc>
        <w:tc>
          <w:tcPr/>
          <w:p>
            <w:pPr>
              <w:pStyle w:val="Compact"/>
              <w:jc w:val="left"/>
            </w:pPr>
            <w:r>
              <w:t xml:space="preserve">GM Internal Audit (CAE)</w:t>
            </w:r>
          </w:p>
        </w:tc>
        <w:tc>
          <w:tcPr/>
          <w:p>
            <w:pPr>
              <w:pStyle w:val="Compact"/>
              <w:jc w:val="left"/>
            </w:pPr>
            <w:r>
              <w:t xml:space="preserve">Approves scope, decisions, go-live and major changes</w:t>
            </w:r>
          </w:p>
        </w:tc>
      </w:tr>
      <w:tr>
        <w:tc>
          <w:tcPr/>
          <w:p>
            <w:pPr>
              <w:pStyle w:val="Compact"/>
              <w:jc w:val="left"/>
            </w:pPr>
            <w:r>
              <w:t xml:space="preserve">System owner</w:t>
            </w:r>
          </w:p>
        </w:tc>
        <w:tc>
          <w:tcPr/>
          <w:p>
            <w:pPr>
              <w:pStyle w:val="Compact"/>
              <w:jc w:val="left"/>
            </w:pPr>
            <w:r>
              <w:t xml:space="preserve">Senior Internal Audit officer</w:t>
            </w:r>
          </w:p>
        </w:tc>
        <w:tc>
          <w:tcPr/>
          <w:p>
            <w:pPr>
              <w:pStyle w:val="Compact"/>
              <w:jc w:val="left"/>
            </w:pPr>
            <w:r>
              <w:t xml:space="preserve">Day-to-day ownership, priorities, configuration approval, decision register</w:t>
            </w:r>
          </w:p>
        </w:tc>
      </w:tr>
      <w:tr>
        <w:tc>
          <w:tcPr/>
          <w:p>
            <w:pPr>
              <w:pStyle w:val="Compact"/>
              <w:jc w:val="left"/>
            </w:pPr>
            <w:r>
              <w:t xml:space="preserve">Super Administrators (2)</w:t>
            </w:r>
          </w:p>
        </w:tc>
        <w:tc>
          <w:tcPr/>
          <w:p>
            <w:pPr>
              <w:pStyle w:val="Compact"/>
              <w:jc w:val="left"/>
            </w:pPr>
            <w:r>
              <w:t xml:space="preserve">Named IA officers</w:t>
            </w:r>
          </w:p>
        </w:tc>
        <w:tc>
          <w:tcPr/>
          <w:p>
            <w:pPr>
              <w:pStyle w:val="Compact"/>
              <w:jc w:val="left"/>
            </w:pPr>
            <w:r>
              <w:t xml:space="preserve">Roles, permissions, app settings</w:t>
            </w:r>
          </w:p>
        </w:tc>
      </w:tr>
      <w:tr>
        <w:tc>
          <w:tcPr/>
          <w:p>
            <w:pPr>
              <w:pStyle w:val="Compact"/>
              <w:jc w:val="left"/>
            </w:pPr>
            <w:r>
              <w:t xml:space="preserve">GPHA IT</w:t>
            </w:r>
          </w:p>
        </w:tc>
        <w:tc>
          <w:tcPr/>
          <w:p>
            <w:pPr>
              <w:pStyle w:val="Compact"/>
              <w:jc w:val="left"/>
            </w:pPr>
            <w:r>
              <w:t xml:space="preserve">IT Department</w:t>
            </w:r>
          </w:p>
        </w:tc>
        <w:tc>
          <w:tcPr/>
          <w:p>
            <w:pPr>
              <w:pStyle w:val="Compact"/>
              <w:jc w:val="left"/>
            </w:pPr>
            <w:r>
              <w:t xml:space="preserve">Server, database, network, certificate, patching, backups, monitoring</w:t>
            </w:r>
          </w:p>
        </w:tc>
      </w:tr>
      <w:tr>
        <w:tc>
          <w:tcPr/>
          <w:p>
            <w:pPr>
              <w:pStyle w:val="Compact"/>
              <w:jc w:val="left"/>
            </w:pPr>
            <w:r>
              <w:t xml:space="preserve">IT Security</w:t>
            </w:r>
          </w:p>
        </w:tc>
        <w:tc>
          <w:tcPr/>
          <w:p>
            <w:pPr>
              <w:pStyle w:val="Compact"/>
              <w:jc w:val="left"/>
            </w:pPr>
            <w:r>
              <w:t xml:space="preserve">IT Security unit</w:t>
            </w:r>
          </w:p>
        </w:tc>
        <w:tc>
          <w:tcPr/>
          <w:p>
            <w:pPr>
              <w:pStyle w:val="Compact"/>
              <w:jc w:val="left"/>
            </w:pPr>
            <w:r>
              <w:t xml:space="preserve">Security review and incident handling</w:t>
            </w:r>
          </w:p>
        </w:tc>
      </w:tr>
      <w:tr>
        <w:tc>
          <w:tcPr/>
          <w:p>
            <w:pPr>
              <w:pStyle w:val="Compact"/>
              <w:jc w:val="left"/>
            </w:pPr>
            <w:r>
              <w:t xml:space="preserve">Legal / Records</w:t>
            </w:r>
          </w:p>
        </w:tc>
        <w:tc>
          <w:tcPr/>
          <w:p>
            <w:pPr>
              <w:pStyle w:val="Compact"/>
              <w:jc w:val="left"/>
            </w:pPr>
            <w:r>
              <w:t xml:space="preserve">Legal Department</w:t>
            </w:r>
          </w:p>
        </w:tc>
        <w:tc>
          <w:tcPr/>
          <w:p>
            <w:pPr>
              <w:pStyle w:val="Compact"/>
              <w:jc w:val="left"/>
            </w:pPr>
            <w:r>
              <w:t xml:space="preserve">Data protection and retention (D7, D8)</w:t>
            </w:r>
          </w:p>
        </w:tc>
      </w:tr>
      <w:tr>
        <w:tc>
          <w:tcPr/>
          <w:p>
            <w:pPr>
              <w:pStyle w:val="Compact"/>
              <w:jc w:val="left"/>
            </w:pPr>
            <w:r>
              <w:t xml:space="preserve">Developer / maintainer</w:t>
            </w:r>
          </w:p>
        </w:tc>
        <w:tc>
          <w:tcPr/>
          <w:p>
            <w:pPr>
              <w:pStyle w:val="Compact"/>
              <w:jc w:val="left"/>
            </w:pPr>
            <w:r>
              <w:t xml:space="preserve">Internal or contracted</w:t>
            </w:r>
          </w:p>
        </w:tc>
        <w:tc>
          <w:tcPr/>
          <w:p>
            <w:pPr>
              <w:pStyle w:val="Compact"/>
              <w:jc w:val="left"/>
            </w:pPr>
            <w:r>
              <w:t xml:space="preserve">Fixes, changes, releases</w:t>
            </w:r>
          </w:p>
        </w:tc>
      </w:tr>
      <w:tr>
        <w:tc>
          <w:tcPr/>
          <w:p>
            <w:pPr>
              <w:pStyle w:val="Compact"/>
              <w:jc w:val="left"/>
            </w:pPr>
            <w:r>
              <w:t xml:space="preserve">Super users</w:t>
            </w:r>
          </w:p>
        </w:tc>
        <w:tc>
          <w:tcPr/>
          <w:p>
            <w:pPr>
              <w:pStyle w:val="Compact"/>
              <w:jc w:val="left"/>
            </w:pPr>
            <w:r>
              <w:t xml:space="preserve">One per location</w:t>
            </w:r>
          </w:p>
        </w:tc>
        <w:tc>
          <w:tcPr/>
          <w:p>
            <w:pPr>
              <w:pStyle w:val="Compact"/>
              <w:jc w:val="left"/>
            </w:pPr>
            <w:r>
              <w:t xml:space="preserve">First-line help and feedback</w:t>
            </w:r>
          </w:p>
        </w:tc>
      </w:tr>
      <w:tr>
        <w:tc>
          <w:tcPr/>
          <w:p>
            <w:pPr>
              <w:pStyle w:val="Compact"/>
              <w:jc w:val="left"/>
            </w:pPr>
            <w:r>
              <w:t xml:space="preserve">Steering meeting</w:t>
            </w:r>
          </w:p>
        </w:tc>
        <w:tc>
          <w:tcPr/>
          <w:p>
            <w:pPr>
              <w:pStyle w:val="Compact"/>
              <w:jc w:val="left"/>
            </w:pPr>
            <w:r>
              <w:t xml:space="preserve">Sponsor, system owner, IT, super users</w:t>
            </w:r>
          </w:p>
        </w:tc>
        <w:tc>
          <w:tcPr/>
          <w:p>
            <w:pPr>
              <w:pStyle w:val="Compact"/>
              <w:jc w:val="left"/>
            </w:pPr>
            <w:r>
              <w:t xml:space="preserve">Every two weeks until go-live, then quarterly</w:t>
            </w:r>
          </w:p>
        </w:tc>
      </w:tr>
    </w:tbl>
    <w:bookmarkEnd w:id="66"/>
    <w:bookmarkStart w:id="67" w:name="risks-and-mitigations"/>
    <w:p>
      <w:pPr>
        <w:pStyle w:val="Heading2"/>
      </w:pPr>
      <w:r>
        <w:t xml:space="preserve">11.2 Risks and mitigations</w:t>
      </w:r>
    </w:p>
    <w:tbl>
      <w:tblPr>
        <w:tblStyle w:val="Table"/>
        <w:tblW w:type="pct" w:w="5000"/>
        <w:tblLook w:firstRow="1" w:lastRow="0" w:firstColumn="0" w:lastColumn="0" w:noHBand="0" w:noVBand="0" w:val="0020"/>
        <w:jc w:val="start"/>
      </w:tblPr>
      <w:tblGrid>
        <w:gridCol w:w="708"/>
        <w:gridCol w:w="2897"/>
        <w:gridCol w:w="708"/>
        <w:gridCol w:w="708"/>
        <w:gridCol w:w="2897"/>
      </w:tblGrid>
      <w:tr>
        <w:trPr>
          <w:tblHeader w:val="true"/>
          <w:tblHeader w:val="true"/>
        </w:trPr>
        <w:tc>
          <w:tcPr>
            <w:shd w:val="clear" w:color="auto" w:fill="1E60AE"/>
          </w:tcPr>
          <w:p>
            <w:pPr>
              <w:pStyle w:val="Compact"/>
              <w:jc w:val="left"/>
            </w:pPr>
            <w:r>
              <w:rPr>
                <w:b/>
                <w:color w:val="FFFFFF"/>
              </w:rPr>
              <w:t xml:space="preserve">#</w:t>
            </w:r>
          </w:p>
        </w:tc>
        <w:tc>
          <w:tcPr>
            <w:shd w:val="clear" w:color="auto" w:fill="1E60AE"/>
          </w:tcPr>
          <w:p>
            <w:pPr>
              <w:pStyle w:val="Compact"/>
              <w:jc w:val="left"/>
            </w:pPr>
            <w:r>
              <w:rPr>
                <w:b/>
                <w:color w:val="FFFFFF"/>
              </w:rPr>
              <w:t xml:space="preserve">Risk</w:t>
            </w:r>
          </w:p>
        </w:tc>
        <w:tc>
          <w:tcPr>
            <w:shd w:val="clear" w:color="auto" w:fill="1E60AE"/>
          </w:tcPr>
          <w:p>
            <w:pPr>
              <w:pStyle w:val="Compact"/>
              <w:jc w:val="left"/>
            </w:pPr>
            <w:r>
              <w:rPr>
                <w:b/>
                <w:color w:val="FFFFFF"/>
              </w:rPr>
              <w:t xml:space="preserve">Likelihood</w:t>
            </w:r>
          </w:p>
        </w:tc>
        <w:tc>
          <w:tcPr>
            <w:shd w:val="clear" w:color="auto" w:fill="1E60AE"/>
          </w:tcPr>
          <w:p>
            <w:pPr>
              <w:pStyle w:val="Compact"/>
              <w:jc w:val="left"/>
            </w:pPr>
            <w:r>
              <w:rPr>
                <w:b/>
                <w:color w:val="FFFFFF"/>
              </w:rPr>
              <w:t xml:space="preserve">Impact</w:t>
            </w:r>
          </w:p>
        </w:tc>
        <w:tc>
          <w:tcPr>
            <w:shd w:val="clear" w:color="auto" w:fill="1E60AE"/>
          </w:tcPr>
          <w:p>
            <w:pPr>
              <w:pStyle w:val="Compact"/>
              <w:jc w:val="left"/>
            </w:pPr>
            <w:r>
              <w:rPr>
                <w:b/>
                <w:color w:val="FFFFFF"/>
              </w:rPr>
              <w:t xml:space="preserve">Mitigation</w:t>
            </w:r>
          </w:p>
        </w:tc>
      </w:tr>
      <w:tr>
        <w:tc>
          <w:tcPr/>
          <w:p>
            <w:pPr>
              <w:pStyle w:val="Compact"/>
              <w:jc w:val="left"/>
            </w:pPr>
            <w:r>
              <w:t xml:space="preserve">R1</w:t>
            </w:r>
          </w:p>
        </w:tc>
        <w:tc>
          <w:tcPr/>
          <w:p>
            <w:pPr>
              <w:pStyle w:val="Compact"/>
              <w:jc w:val="left"/>
            </w:pPr>
            <w:r>
              <w:t xml:space="preserve">Decisions D1 to D16 delayed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Decision workshop in week 1; defaults already working</w:t>
            </w:r>
          </w:p>
        </w:tc>
      </w:tr>
      <w:tr>
        <w:tc>
          <w:tcPr/>
          <w:p>
            <w:pPr>
              <w:pStyle w:val="Compact"/>
              <w:jc w:val="left"/>
            </w:pPr>
            <w:r>
              <w:t xml:space="preserve">R2</w:t>
            </w:r>
          </w:p>
        </w:tc>
        <w:tc>
          <w:tcPr/>
          <w:p>
            <w:pPr>
              <w:pStyle w:val="Compact"/>
              <w:jc w:val="left"/>
            </w:pPr>
            <w:r>
              <w:t xml:space="preserve">Production server not ready in time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Early request to IT; sizing already defined</w:t>
            </w:r>
          </w:p>
        </w:tc>
      </w:tr>
      <w:tr>
        <w:tc>
          <w:tcPr/>
          <w:p>
            <w:pPr>
              <w:pStyle w:val="Compact"/>
              <w:jc w:val="left"/>
            </w:pPr>
            <w:r>
              <w:t xml:space="preserve">R3</w:t>
            </w:r>
          </w:p>
        </w:tc>
        <w:tc>
          <w:tcPr/>
          <w:p>
            <w:pPr>
              <w:pStyle w:val="Compact"/>
              <w:jc w:val="left"/>
            </w:pPr>
            <w:r>
              <w:t xml:space="preserve">Low user adoption / preference for paper files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Role-based training, super users, GM Audit directive that GIAW is the system of record</w:t>
            </w:r>
          </w:p>
        </w:tc>
      </w:tr>
      <w:tr>
        <w:tc>
          <w:tcPr/>
          <w:p>
            <w:pPr>
              <w:pStyle w:val="Compact"/>
              <w:jc w:val="left"/>
            </w:pPr>
            <w:r>
              <w:t xml:space="preserve">R4</w:t>
            </w:r>
          </w:p>
        </w:tc>
        <w:tc>
          <w:tcPr/>
          <w:p>
            <w:pPr>
              <w:pStyle w:val="Compact"/>
              <w:jc w:val="left"/>
            </w:pPr>
            <w:r>
              <w:t xml:space="preserve">Poor quality of migrated data</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Limit to open items; reconcile and sign off each load</w:t>
            </w:r>
          </w:p>
        </w:tc>
      </w:tr>
      <w:tr>
        <w:tc>
          <w:tcPr/>
          <w:p>
            <w:pPr>
              <w:pStyle w:val="Compact"/>
              <w:jc w:val="left"/>
            </w:pPr>
            <w:r>
              <w:t xml:space="preserve">R5</w:t>
            </w:r>
          </w:p>
        </w:tc>
        <w:tc>
          <w:tcPr/>
          <w:p>
            <w:pPr>
              <w:pStyle w:val="Compact"/>
              <w:jc w:val="left"/>
            </w:pPr>
            <w:r>
              <w:t xml:space="preserve">Loss of the encryption key or backups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Key held by two officers in a sealed or vaulted store, separate from backups; restore tested</w:t>
            </w:r>
          </w:p>
        </w:tc>
      </w:tr>
      <w:tr>
        <w:tc>
          <w:tcPr/>
          <w:p>
            <w:pPr>
              <w:pStyle w:val="Compact"/>
              <w:jc w:val="left"/>
            </w:pPr>
            <w:r>
              <w:t xml:space="preserve">R6</w:t>
            </w:r>
          </w:p>
        </w:tc>
        <w:tc>
          <w:tcPr/>
          <w:p>
            <w:pPr>
              <w:pStyle w:val="Compact"/>
              <w:jc w:val="left"/>
            </w:pPr>
            <w:r>
              <w:t xml:space="preserve">Dependence on a single developer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Full technical documentation, automated tests, plain technology choices; named backup maintainer</w:t>
            </w:r>
          </w:p>
        </w:tc>
      </w:tr>
      <w:tr>
        <w:tc>
          <w:tcPr/>
          <w:p>
            <w:pPr>
              <w:pStyle w:val="Compact"/>
              <w:jc w:val="left"/>
            </w:pPr>
            <w:r>
              <w:t xml:space="preserve">R7</w:t>
            </w:r>
          </w:p>
        </w:tc>
        <w:tc>
          <w:tcPr/>
          <w:p>
            <w:pPr>
              <w:pStyle w:val="Compact"/>
              <w:jc w:val="left"/>
            </w:pPr>
            <w:r>
              <w:t xml:space="preserve">Unauthorised access to audit information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Role and record checks, two-step verification, audit trail, IT security review</w:t>
            </w:r>
          </w:p>
        </w:tc>
      </w:tr>
      <w:tr>
        <w:tc>
          <w:tcPr/>
          <w:p>
            <w:pPr>
              <w:pStyle w:val="Compact"/>
              <w:jc w:val="left"/>
            </w:pPr>
            <w:r>
              <w:t xml:space="preserve">R8</w:t>
            </w:r>
          </w:p>
        </w:tc>
        <w:tc>
          <w:tcPr/>
          <w:p>
            <w:pPr>
              <w:pStyle w:val="Compact"/>
              <w:jc w:val="left"/>
            </w:pPr>
            <w:r>
              <w:t xml:space="preserve">Network outages at Tema or Takoradi</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Drafts autosave; works on low bandwidth; offline paper fallback procedure</w:t>
            </w:r>
          </w:p>
        </w:tc>
      </w:tr>
      <w:tr>
        <w:tc>
          <w:tcPr/>
          <w:p>
            <w:pPr>
              <w:pStyle w:val="Compact"/>
              <w:jc w:val="left"/>
            </w:pPr>
            <w:r>
              <w:t xml:space="preserve">R9</w:t>
            </w:r>
          </w:p>
        </w:tc>
        <w:tc>
          <w:tcPr/>
          <w:p>
            <w:pPr>
              <w:pStyle w:val="Compact"/>
              <w:jc w:val="left"/>
            </w:pPr>
            <w:r>
              <w:t xml:space="preserve">Scope creep (TPRM, integrations, AI)</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Change control through the steering meeting (decisions D11, D15)</w:t>
            </w:r>
          </w:p>
        </w:tc>
      </w:tr>
    </w:tbl>
    <w:bookmarkEnd w:id="67"/>
    <w:bookmarkStart w:id="68" w:name="resources-and-costs-gpha-to-confirm"/>
    <w:p>
      <w:pPr>
        <w:pStyle w:val="Heading2"/>
      </w:pPr>
      <w:r>
        <w:t xml:space="preserve">11.3 Resources and costs (GPHA to confirm)</w:t>
      </w:r>
    </w:p>
    <w:tbl>
      <w:tblPr>
        <w:tblStyle w:val="Table"/>
        <w:tblW w:type="pct" w:w="5000"/>
        <w:tblLook w:firstRow="1" w:lastRow="0" w:firstColumn="0" w:lastColumn="0" w:noHBand="0" w:noVBand="0" w:val="0020"/>
        <w:jc w:val="start"/>
      </w:tblPr>
      <w:tblGrid>
        <w:gridCol w:w="1282"/>
        <w:gridCol w:w="3394"/>
        <w:gridCol w:w="3243"/>
      </w:tblGrid>
      <w:tr>
        <w:trPr>
          <w:tblHeader w:val="true"/>
          <w:tblHeader w:val="true"/>
        </w:trPr>
        <w:tc>
          <w:tcPr>
            <w:shd w:val="clear" w:color="auto" w:fill="1E60AE"/>
          </w:tcPr>
          <w:p>
            <w:pPr>
              <w:pStyle w:val="Compact"/>
              <w:jc w:val="left"/>
            </w:pPr>
            <w:r>
              <w:rPr>
                <w:b/>
                <w:color w:val="FFFFFF"/>
              </w:rPr>
              <w:t xml:space="preserve">Item</w:t>
            </w:r>
          </w:p>
        </w:tc>
        <w:tc>
          <w:tcPr>
            <w:shd w:val="clear" w:color="auto" w:fill="1E60AE"/>
          </w:tcPr>
          <w:p>
            <w:pPr>
              <w:pStyle w:val="Compact"/>
              <w:jc w:val="left"/>
            </w:pPr>
            <w:r>
              <w:rPr>
                <w:b/>
                <w:color w:val="FFFFFF"/>
              </w:rPr>
              <w:t xml:space="preserve">Need</w:t>
            </w:r>
          </w:p>
        </w:tc>
        <w:tc>
          <w:tcPr>
            <w:shd w:val="clear" w:color="auto" w:fill="1E60AE"/>
          </w:tcPr>
          <w:p>
            <w:pPr>
              <w:pStyle w:val="Compact"/>
              <w:jc w:val="left"/>
            </w:pPr>
            <w:r>
              <w:rPr>
                <w:b/>
                <w:color w:val="FFFFFF"/>
              </w:rPr>
              <w:t xml:space="preserve">Cost note</w:t>
            </w:r>
          </w:p>
        </w:tc>
      </w:tr>
      <w:tr>
        <w:tc>
          <w:tcPr/>
          <w:p>
            <w:pPr>
              <w:pStyle w:val="Compact"/>
              <w:jc w:val="left"/>
            </w:pPr>
            <w:r>
              <w:t xml:space="preserve">Server</w:t>
            </w:r>
          </w:p>
        </w:tc>
        <w:tc>
          <w:tcPr/>
          <w:p>
            <w:pPr>
              <w:pStyle w:val="Compact"/>
              <w:jc w:val="left"/>
            </w:pPr>
            <w:r>
              <w:t xml:space="preserve">One Windows Server 2022 virtual machine (4 vCPU, 8 GB, 200 GB) plus backup storage</w:t>
            </w:r>
          </w:p>
        </w:tc>
        <w:tc>
          <w:tcPr/>
          <w:p>
            <w:pPr>
              <w:pStyle w:val="Compact"/>
              <w:jc w:val="left"/>
            </w:pPr>
            <w:r>
              <w:t xml:space="preserve">Existing GPHA infrastructure where possible</w:t>
            </w:r>
          </w:p>
        </w:tc>
      </w:tr>
      <w:tr>
        <w:tc>
          <w:tcPr/>
          <w:p>
            <w:pPr>
              <w:pStyle w:val="Compact"/>
              <w:jc w:val="left"/>
            </w:pPr>
            <w:r>
              <w:t xml:space="preserve">Software licences</w:t>
            </w:r>
          </w:p>
        </w:tc>
        <w:tc>
          <w:tcPr/>
          <w:p>
            <w:pPr>
              <w:pStyle w:val="Compact"/>
              <w:jc w:val="left"/>
            </w:pPr>
            <w:r>
              <w:t xml:space="preserve">None for GIAW components (open source); Windows Server licence under the GPHA agreement</w:t>
            </w:r>
          </w:p>
        </w:tc>
        <w:tc>
          <w:tcPr/>
          <w:p>
            <w:pPr>
              <w:pStyle w:val="Compact"/>
              <w:jc w:val="left"/>
            </w:pPr>
            <w:r>
              <w:t xml:space="preserve">No new licence fees expected</w:t>
            </w:r>
          </w:p>
        </w:tc>
      </w:tr>
      <w:tr>
        <w:tc>
          <w:tcPr/>
          <w:p>
            <w:pPr>
              <w:pStyle w:val="Compact"/>
              <w:jc w:val="left"/>
            </w:pPr>
            <w:r>
              <w:t xml:space="preserve">TLS certificate</w:t>
            </w:r>
          </w:p>
        </w:tc>
        <w:tc>
          <w:tcPr/>
          <w:p>
            <w:pPr>
              <w:pStyle w:val="Compact"/>
              <w:jc w:val="left"/>
            </w:pPr>
            <w:r>
              <w:t xml:space="preserve">GPHA internal or public certificate</w:t>
            </w:r>
          </w:p>
        </w:tc>
        <w:tc>
          <w:tcPr/>
          <w:p>
            <w:pPr>
              <w:pStyle w:val="Compact"/>
              <w:jc w:val="left"/>
            </w:pPr>
            <w:r>
              <w:t xml:space="preserve">Minimal</w:t>
            </w:r>
          </w:p>
        </w:tc>
      </w:tr>
      <w:tr>
        <w:tc>
          <w:tcPr/>
          <w:p>
            <w:pPr>
              <w:pStyle w:val="Compact"/>
              <w:jc w:val="left"/>
            </w:pPr>
            <w:r>
              <w:t xml:space="preserve">Staff time</w:t>
            </w:r>
          </w:p>
        </w:tc>
        <w:tc>
          <w:tcPr/>
          <w:p>
            <w:pPr>
              <w:pStyle w:val="Compact"/>
              <w:jc w:val="left"/>
            </w:pPr>
            <w:r>
              <w:t xml:space="preserve">System owner (part time), 2 Super Administrators, IT support, pilot team, trainers</w:t>
            </w:r>
          </w:p>
        </w:tc>
        <w:tc>
          <w:tcPr/>
          <w:p>
            <w:pPr>
              <w:pStyle w:val="Compact"/>
              <w:jc w:val="left"/>
            </w:pPr>
            <w:r>
              <w:t xml:space="preserve">Internal</w:t>
            </w:r>
          </w:p>
        </w:tc>
      </w:tr>
      <w:tr>
        <w:tc>
          <w:tcPr/>
          <w:p>
            <w:pPr>
              <w:pStyle w:val="Compact"/>
              <w:jc w:val="left"/>
            </w:pPr>
            <w:r>
              <w:t xml:space="preserve">Training</w:t>
            </w:r>
          </w:p>
        </w:tc>
        <w:tc>
          <w:tcPr/>
          <w:p>
            <w:pPr>
              <w:pStyle w:val="Compact"/>
              <w:jc w:val="left"/>
            </w:pPr>
            <w:r>
              <w:t xml:space="preserve">Venue and time at HQ, Tema and Takoradi</w:t>
            </w:r>
          </w:p>
        </w:tc>
        <w:tc>
          <w:tcPr/>
          <w:p>
            <w:pPr>
              <w:pStyle w:val="Compact"/>
              <w:jc w:val="left"/>
            </w:pPr>
            <w:r>
              <w:t xml:space="preserve">Internal</w:t>
            </w:r>
          </w:p>
        </w:tc>
      </w:tr>
      <w:tr>
        <w:tc>
          <w:tcPr/>
          <w:p>
            <w:pPr>
              <w:pStyle w:val="Compact"/>
              <w:jc w:val="left"/>
            </w:pPr>
            <w:r>
              <w:t xml:space="preserve">Maintenance</w:t>
            </w:r>
          </w:p>
        </w:tc>
        <w:tc>
          <w:tcPr/>
          <w:p>
            <w:pPr>
              <w:pStyle w:val="Compact"/>
              <w:jc w:val="left"/>
            </w:pPr>
            <w:r>
              <w:t xml:space="preserve">Developer / maintainer for fixes and changes</w:t>
            </w:r>
          </w:p>
        </w:tc>
        <w:tc>
          <w:tcPr/>
          <w:p>
            <w:pPr>
              <w:pStyle w:val="Compact"/>
              <w:jc w:val="left"/>
            </w:pPr>
            <w:r>
              <w:t xml:space="preserve">GPHA to decide: internal or contracted</w:t>
            </w:r>
          </w:p>
        </w:tc>
      </w:tr>
    </w:tbl>
    <w:bookmarkEnd w:id="68"/>
    <w:bookmarkStart w:id="69" w:name="support-after-go-live"/>
    <w:p>
      <w:pPr>
        <w:pStyle w:val="Heading2"/>
      </w:pPr>
      <w:r>
        <w:t xml:space="preserve">11.4 Support after go-live</w:t>
      </w:r>
    </w:p>
    <w:tbl>
      <w:tblPr>
        <w:tblStyle w:val="Table"/>
        <w:tblW w:type="pct" w:w="5000"/>
        <w:tblLook w:firstRow="1" w:lastRow="0" w:firstColumn="0" w:lastColumn="0" w:noHBand="0" w:noVBand="0" w:val="0020"/>
        <w:jc w:val="start"/>
      </w:tblPr>
      <w:tblGrid>
        <w:gridCol w:w="1024"/>
        <w:gridCol w:w="2702"/>
        <w:gridCol w:w="4192"/>
      </w:tblGrid>
      <w:tr>
        <w:trPr>
          <w:tblHeader w:val="true"/>
          <w:tblHeader w:val="true"/>
        </w:trPr>
        <w:tc>
          <w:tcPr>
            <w:shd w:val="clear" w:color="auto" w:fill="1E60AE"/>
          </w:tcPr>
          <w:p>
            <w:pPr>
              <w:pStyle w:val="Compact"/>
              <w:jc w:val="left"/>
            </w:pPr>
            <w:r>
              <w:rPr>
                <w:b/>
                <w:color w:val="FFFFFF"/>
              </w:rPr>
              <w:t xml:space="preserve">Level</w:t>
            </w:r>
          </w:p>
        </w:tc>
        <w:tc>
          <w:tcPr>
            <w:shd w:val="clear" w:color="auto" w:fill="1E60AE"/>
          </w:tcPr>
          <w:p>
            <w:pPr>
              <w:pStyle w:val="Compact"/>
              <w:jc w:val="left"/>
            </w:pPr>
            <w:r>
              <w:rPr>
                <w:b/>
                <w:color w:val="FFFFFF"/>
              </w:rPr>
              <w:t xml:space="preserve">Who</w:t>
            </w:r>
          </w:p>
        </w:tc>
        <w:tc>
          <w:tcPr>
            <w:shd w:val="clear" w:color="auto" w:fill="1E60AE"/>
          </w:tcPr>
          <w:p>
            <w:pPr>
              <w:pStyle w:val="Compact"/>
              <w:jc w:val="left"/>
            </w:pPr>
            <w:r>
              <w:rPr>
                <w:b/>
                <w:color w:val="FFFFFF"/>
              </w:rPr>
              <w:t xml:space="preserve">What</w:t>
            </w:r>
          </w:p>
        </w:tc>
      </w:tr>
      <w:tr>
        <w:tc>
          <w:tcPr/>
          <w:p>
            <w:pPr>
              <w:pStyle w:val="Compact"/>
              <w:jc w:val="left"/>
            </w:pPr>
            <w:r>
              <w:t xml:space="preserve">1</w:t>
            </w:r>
          </w:p>
        </w:tc>
        <w:tc>
          <w:tcPr/>
          <w:p>
            <w:pPr>
              <w:pStyle w:val="Compact"/>
              <w:jc w:val="left"/>
            </w:pPr>
            <w:r>
              <w:t xml:space="preserve">Super users</w:t>
            </w:r>
          </w:p>
        </w:tc>
        <w:tc>
          <w:tcPr/>
          <w:p>
            <w:pPr>
              <w:pStyle w:val="Compact"/>
              <w:jc w:val="left"/>
            </w:pPr>
            <w:r>
              <w:t xml:space="preserve">How-to questions, first check of problems</w:t>
            </w:r>
          </w:p>
        </w:tc>
      </w:tr>
      <w:tr>
        <w:tc>
          <w:tcPr/>
          <w:p>
            <w:pPr>
              <w:pStyle w:val="Compact"/>
              <w:jc w:val="left"/>
            </w:pPr>
            <w:r>
              <w:t xml:space="preserve">2</w:t>
            </w:r>
          </w:p>
        </w:tc>
        <w:tc>
          <w:tcPr/>
          <w:p>
            <w:pPr>
              <w:pStyle w:val="Compact"/>
              <w:jc w:val="left"/>
            </w:pPr>
            <w:r>
              <w:t xml:space="preserve">Administrators / system owner</w:t>
            </w:r>
          </w:p>
        </w:tc>
        <w:tc>
          <w:tcPr/>
          <w:p>
            <w:pPr>
              <w:pStyle w:val="Compact"/>
              <w:jc w:val="left"/>
            </w:pPr>
            <w:r>
              <w:t xml:space="preserve">Accounts, configuration, data corrections</w:t>
            </w:r>
          </w:p>
        </w:tc>
      </w:tr>
      <w:tr>
        <w:tc>
          <w:tcPr/>
          <w:p>
            <w:pPr>
              <w:pStyle w:val="Compact"/>
              <w:jc w:val="left"/>
            </w:pPr>
            <w:r>
              <w:t xml:space="preserve">3</w:t>
            </w:r>
          </w:p>
        </w:tc>
        <w:tc>
          <w:tcPr/>
          <w:p>
            <w:pPr>
              <w:pStyle w:val="Compact"/>
              <w:jc w:val="left"/>
            </w:pPr>
            <w:r>
              <w:t xml:space="preserve">Developer and GPHA IT</w:t>
            </w:r>
          </w:p>
        </w:tc>
        <w:tc>
          <w:tcPr/>
          <w:p>
            <w:pPr>
              <w:pStyle w:val="Compact"/>
              <w:jc w:val="left"/>
            </w:pPr>
            <w:r>
              <w:t xml:space="preserve">Defects, server, database, security incidents</w:t>
            </w:r>
          </w:p>
        </w:tc>
      </w:tr>
    </w:tbl>
    <w:p>
      <w:pPr>
        <w:pStyle w:val="BodyText"/>
      </w:pPr>
      <w:r>
        <w:t xml:space="preserve">Routine operations: daily backups and log checks, monthly patching and access review, quarterly restore test and upgrade cycle, annual review of configuration, roles and this documentation. All changes follow the change control procedure in document 04.</w:t>
      </w:r>
    </w:p>
    <w:bookmarkEnd w:id="69"/>
    <w:bookmarkStart w:id="70" w:name="success-measures"/>
    <w:p>
      <w:pPr>
        <w:pStyle w:val="Heading2"/>
      </w:pPr>
      <w:r>
        <w:t xml:space="preserve">11.5 Success measures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1E60AE"/>
          </w:tcPr>
          <w:p>
            <w:pPr>
              <w:pStyle w:val="Compact"/>
              <w:jc w:val="left"/>
            </w:pPr>
            <w:r>
              <w:rPr>
                <w:b/>
                <w:color w:val="FFFFFF"/>
              </w:rPr>
              <w:t xml:space="preserve">Measure</w:t>
            </w:r>
          </w:p>
        </w:tc>
        <w:tc>
          <w:tcPr>
            <w:shd w:val="clear" w:color="auto" w:fill="1E60AE"/>
          </w:tcPr>
          <w:p>
            <w:pPr>
              <w:pStyle w:val="Compact"/>
              <w:jc w:val="left"/>
            </w:pPr>
            <w:r>
              <w:rPr>
                <w:b/>
                <w:color w:val="FFFFFF"/>
              </w:rPr>
              <w:t xml:space="preserve">Target (first year)</w:t>
            </w:r>
          </w:p>
        </w:tc>
      </w:tr>
      <w:tr>
        <w:tc>
          <w:tcPr/>
          <w:p>
            <w:pPr>
              <w:pStyle w:val="Compact"/>
              <w:jc w:val="left"/>
            </w:pPr>
            <w:r>
              <w:t xml:space="preserve">Engagements performed and documented in GIAW</w:t>
            </w:r>
          </w:p>
        </w:tc>
        <w:tc>
          <w:tcPr/>
          <w:p>
            <w:pPr>
              <w:pStyle w:val="Compact"/>
              <w:jc w:val="left"/>
            </w:pPr>
            <w:r>
              <w:t xml:space="preserve">100% of new engagements from go-live</w:t>
            </w:r>
          </w:p>
        </w:tc>
      </w:tr>
      <w:tr>
        <w:tc>
          <w:tcPr/>
          <w:p>
            <w:pPr>
              <w:pStyle w:val="Compact"/>
              <w:jc w:val="left"/>
            </w:pPr>
            <w:r>
              <w:t xml:space="preserve">Agreed actions tracked in GIAW</w:t>
            </w:r>
          </w:p>
        </w:tc>
        <w:tc>
          <w:tcPr/>
          <w:p>
            <w:pPr>
              <w:pStyle w:val="Compact"/>
              <w:jc w:val="left"/>
            </w:pPr>
            <w:r>
              <w:t xml:space="preserve">100%, with overdue actions reported quarterly to the Audit Committee</w:t>
            </w:r>
          </w:p>
        </w:tc>
      </w:tr>
      <w:tr>
        <w:tc>
          <w:tcPr/>
          <w:p>
            <w:pPr>
              <w:pStyle w:val="Compact"/>
              <w:jc w:val="left"/>
            </w:pPr>
            <w:r>
              <w:t xml:space="preserve">Plan completion (reports realised against planned)</w:t>
            </w:r>
          </w:p>
        </w:tc>
        <w:tc>
          <w:tcPr/>
          <w:p>
            <w:pPr>
              <w:pStyle w:val="Compact"/>
              <w:jc w:val="left"/>
            </w:pPr>
            <w:r>
              <w:t xml:space="preserve">Reported monthly; target set by the GM Audit</w:t>
            </w:r>
          </w:p>
        </w:tc>
      </w:tr>
      <w:tr>
        <w:tc>
          <w:tcPr/>
          <w:p>
            <w:pPr>
              <w:pStyle w:val="Compact"/>
              <w:jc w:val="left"/>
            </w:pPr>
            <w:r>
              <w:t xml:space="preserve">Report cycle time (fieldwork end to final report)</w:t>
            </w:r>
          </w:p>
        </w:tc>
        <w:tc>
          <w:tcPr/>
          <w:p>
            <w:pPr>
              <w:pStyle w:val="Compact"/>
              <w:jc w:val="left"/>
            </w:pPr>
            <w:r>
              <w:t xml:space="preserve">Measured from go-live; reduced against the baseline</w:t>
            </w:r>
          </w:p>
        </w:tc>
      </w:tr>
      <w:tr>
        <w:tc>
          <w:tcPr/>
          <w:p>
            <w:pPr>
              <w:pStyle w:val="Compact"/>
              <w:jc w:val="left"/>
            </w:pPr>
            <w:r>
              <w:t xml:space="preserve">Action close-out rate and recurring findings</w:t>
            </w:r>
          </w:p>
        </w:tc>
        <w:tc>
          <w:tcPr/>
          <w:p>
            <w:pPr>
              <w:pStyle w:val="Compact"/>
              <w:jc w:val="left"/>
            </w:pPr>
            <w:r>
              <w:t xml:space="preserve">Measured and reported quarterly</w:t>
            </w:r>
          </w:p>
        </w:tc>
      </w:tr>
      <w:tr>
        <w:tc>
          <w:tcPr/>
          <w:p>
            <w:pPr>
              <w:pStyle w:val="Compact"/>
              <w:jc w:val="left"/>
            </w:pPr>
            <w:r>
              <w:t xml:space="preserve">Users trained before access</w:t>
            </w:r>
          </w:p>
        </w:tc>
        <w:tc>
          <w:tcPr/>
          <w:p>
            <w:pPr>
              <w:pStyle w:val="Compact"/>
              <w:jc w:val="left"/>
            </w:pPr>
            <w:r>
              <w:t xml:space="preserve">100%</w:t>
            </w:r>
          </w:p>
        </w:tc>
      </w:tr>
      <w:tr>
        <w:tc>
          <w:tcPr/>
          <w:p>
            <w:pPr>
              <w:pStyle w:val="Compact"/>
              <w:jc w:val="left"/>
            </w:pPr>
            <w:r>
              <w:t xml:space="preserve">Availability during working hours</w:t>
            </w:r>
          </w:p>
        </w:tc>
        <w:tc>
          <w:tcPr/>
          <w:p>
            <w:pPr>
              <w:pStyle w:val="Compact"/>
              <w:jc w:val="left"/>
            </w:pPr>
            <w:r>
              <w:t xml:space="preserve">99%</w:t>
            </w:r>
          </w:p>
        </w:tc>
      </w:tr>
      <w:tr>
        <w:tc>
          <w:tcPr/>
          <w:p>
            <w:pPr>
              <w:pStyle w:val="Compact"/>
              <w:jc w:val="left"/>
            </w:pPr>
            <w:r>
              <w:t xml:space="preserve">Audit trail completeness and backup restore tests</w:t>
            </w:r>
          </w:p>
        </w:tc>
        <w:tc>
          <w:tcPr/>
          <w:p>
            <w:pPr>
              <w:pStyle w:val="Compact"/>
              <w:jc w:val="left"/>
            </w:pPr>
            <w:r>
              <w:t xml:space="preserve">100% of quarterly tests successful</w:t>
            </w:r>
          </w:p>
        </w:tc>
      </w:tr>
    </w:tbl>
    <w:bookmarkEnd w:id="70"/>
    <w:bookmarkEnd w:id="71"/>
    <w:bookmarkStart w:id="72" w:name="recommendation"/>
    <w:p>
      <w:pPr>
        <w:pStyle w:val="Heading1"/>
      </w:pPr>
      <w:r>
        <w:t xml:space="preserve">12. Recommendation</w:t>
      </w:r>
    </w:p>
    <w:p>
      <w:pPr>
        <w:pStyle w:val="FirstParagraph"/>
      </w:pPr>
      <w:r>
        <w:t xml:space="preserve">GIAW converts the GPHA Internal Audit procedures (IMS_PS_004_AU03), the review chain, the six streams and the finding and working paper standards into one controlled, secure and GPHA-hosted system. It is built, tested and documented. The remaining work is mainly organisational: decisions, a server, a pilot, data loading and training.</w:t>
      </w:r>
    </w:p>
    <w:p>
      <w:pPr>
        <w:pStyle w:val="BodyText"/>
      </w:pPr>
      <w:r>
        <w:t xml:space="preserve">It is recommended that Management</w:t>
      </w:r>
      <w:r>
        <w:t xml:space="preserve"> </w:t>
      </w:r>
      <w:r>
        <w:rPr>
          <w:bCs/>
          <w:b/>
        </w:rPr>
        <w:t xml:space="preserve">approve GIAW and this plan</w:t>
      </w:r>
      <w:r>
        <w:t xml:space="preserve">, nominate the project roles and authorise Stages 4 to 9, with go-live at Headquarters targeted for January 2027 and at Tema and Takoradi in February 2027.</w:t>
      </w:r>
    </w:p>
    <w:bookmarkEnd w:id="72"/>
    <w:bookmarkStart w:id="73" w:name="approval"/>
    <w:p>
      <w:pPr>
        <w:pStyle w:val="Heading1"/>
      </w:pPr>
      <w:r>
        <w:t xml:space="preserve">13. Approval</w:t>
      </w:r>
    </w:p>
    <w:tbl>
      <w:tblPr>
        <w:tblStyle w:val="Table"/>
        <w:tblW w:type="pct" w:w="5000"/>
        <w:tblLook w:firstRow="1" w:lastRow="0" w:firstColumn="0" w:lastColumn="0" w:noHBand="0" w:noVBand="0" w:val="0020"/>
        <w:jc w:val="start"/>
      </w:tblPr>
      <w:tblGrid>
        <w:gridCol w:w="2897"/>
        <w:gridCol w:w="708"/>
        <w:gridCol w:w="2897"/>
        <w:gridCol w:w="708"/>
        <w:gridCol w:w="708"/>
      </w:tblGrid>
      <w:tr>
        <w:trPr>
          <w:tblHeader w:val="true"/>
          <w:tblHeader w:val="true"/>
        </w:trPr>
        <w:tc>
          <w:tcPr>
            <w:shd w:val="clear" w:color="auto" w:fill="1E60AE"/>
          </w:tcPr>
          <w:p>
            <w:pPr>
              <w:pStyle w:val="Compact"/>
              <w:jc w:val="left"/>
            </w:pPr>
            <w:r>
              <w:rPr>
                <w:b/>
                <w:color w:val="FFFFFF"/>
              </w:rPr>
              <w:t xml:space="preserve">Role</w:t>
            </w:r>
          </w:p>
        </w:tc>
        <w:tc>
          <w:tcPr>
            <w:shd w:val="clear" w:color="auto" w:fill="1E60AE"/>
          </w:tcPr>
          <w:p>
            <w:pPr>
              <w:pStyle w:val="Compact"/>
              <w:jc w:val="left"/>
            </w:pPr>
            <w:r>
              <w:rPr>
                <w:b/>
                <w:color w:val="FFFFFF"/>
              </w:rPr>
              <w:t xml:space="preserve">Name</w:t>
            </w:r>
          </w:p>
        </w:tc>
        <w:tc>
          <w:tcPr>
            <w:shd w:val="clear" w:color="auto" w:fill="1E60AE"/>
          </w:tcPr>
          <w:p>
            <w:pPr>
              <w:pStyle w:val="Compact"/>
              <w:jc w:val="left"/>
            </w:pPr>
            <w:r>
              <w:rPr>
                <w:b/>
                <w:color w:val="FFFFFF"/>
              </w:rPr>
              <w:t xml:space="preserve">Decision (Approved / Approved with conditions / Not approved)</w:t>
            </w:r>
          </w:p>
        </w:tc>
        <w:tc>
          <w:tcPr>
            <w:shd w:val="clear" w:color="auto" w:fill="1E60AE"/>
          </w:tcPr>
          <w:p>
            <w:pPr>
              <w:pStyle w:val="Compact"/>
              <w:jc w:val="left"/>
            </w:pPr>
            <w:r>
              <w:rPr>
                <w:b/>
                <w:color w:val="FFFFFF"/>
              </w:rPr>
              <w:t xml:space="preserve">Signature</w:t>
            </w:r>
          </w:p>
        </w:tc>
        <w:tc>
          <w:tcPr>
            <w:shd w:val="clear" w:color="auto" w:fill="1E60AE"/>
          </w:tcPr>
          <w:p>
            <w:pPr>
              <w:pStyle w:val="Compact"/>
              <w:jc w:val="left"/>
            </w:pPr>
            <w:r>
              <w:rPr>
                <w:b/>
                <w:color w:val="FFFFFF"/>
              </w:rPr>
              <w:t xml:space="preserve">Date</w:t>
            </w:r>
          </w:p>
        </w:tc>
      </w:tr>
      <w:tr>
        <w:tc>
          <w:tcPr/>
          <w:p>
            <w:pPr>
              <w:pStyle w:val="Compact"/>
              <w:jc w:val="left"/>
            </w:pPr>
            <w:r>
              <w:t xml:space="preserve">Prepared by: GIAW project team / system owner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Reviewed by: Principal Internal Auditor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Reviewed by: Head of IT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Approved by: General Manager, Internal Audit (CAE)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Endorsed by: Director-General / Corporate Management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Noted by: Audit Committee (Chair)</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Conditions or comments:</w:t>
      </w:r>
    </w:p>
    <w:p>
      <w:pPr>
        <w:pStyle w:val="BodyText"/>
      </w:pPr>
      <w:r>
        <w:t xml:space="preserve"> </w:t>
      </w:r>
    </w:p>
    <w:p>
      <w:pPr>
        <w:pStyle w:val="BodyText"/>
      </w:pPr>
      <w:r>
        <w:t xml:space="preserve"> </w:t>
      </w:r>
    </w:p>
    <w:p>
      <w:pPr>
        <w:pStyle w:val="BodyText"/>
      </w:pPr>
      <w:r>
        <w:t xml:space="preserve"> </w:t>
      </w:r>
    </w:p>
    <w:bookmarkEnd w:id="73"/>
    <w:sectPr>
      <w:footerReference r:id="rId9" w:type="default"/>
      <w:pgMar w:bottom="1020"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344054"/>
        <w:sz w:val="16"/>
      </w:rPr>
      <w:t xml:space="preserve">GPHA Internal Audit Workspace (GIAW) · INTERNAL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344054"/>
      <w:sz w:val="21"/>
    </w:rPr>
  </w:style>
  <w:style w:styleId="BodyText" w:type="paragraph">
    <w:name w:val="Body Text"/>
    <w:basedOn w:val="Normal"/>
    <w:link w:val="BodyTextChar"/>
    <w:pPr>
      <w:spacing w:after="180" w:before="180"/>
    </w:pPr>
    <w:qFormat/>
    <w:rPr>
      <w:rFonts w:ascii="Calibri" w:cs="Calibri" w:eastAsia="Calibri" w:hAnsi="Calibri"/>
      <w:color w:val="344054"/>
      <w:sz w:val="21"/>
    </w:rPr>
  </w:style>
  <w:style w:customStyle="1" w:styleId="FirstParagraph" w:type="paragraph">
    <w:name w:val="First Paragraph"/>
    <w:basedOn w:val="BodyText"/>
    <w:next w:val="BodyText"/>
    <w:qFormat/>
    <w:rPr>
      <w:rFonts w:ascii="Calibri" w:cs="Calibri" w:eastAsia="Calibri" w:hAnsi="Calibri"/>
      <w:color w:val="344054"/>
      <w:sz w:val="21"/>
    </w:rPr>
  </w:style>
  <w:style w:customStyle="1" w:styleId="Compact" w:type="paragraph">
    <w:name w:val="Compact"/>
    <w:basedOn w:val="BodyText"/>
    <w:qFormat/>
    <w:pPr>
      <w:spacing w:after="36" w:before="36"/>
    </w:pPr>
    <w:rPr>
      <w:rFonts w:ascii="Calibri" w:cs="Calibri" w:eastAsia="Calibri" w:hAnsi="Calibri"/>
      <w:color w:val="344054"/>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F2A4A"/>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E60AE"/>
      <w:sz w:val="28"/>
      <w:szCs w:val="30"/>
    </w:rPr>
  </w:style>
  <w:style w:customStyle="1" w:styleId="Author" w:type="paragraph">
    <w:name w:val="Author"/>
    <w:next w:val="BodyText"/>
    <w:qFormat/>
    <w:pPr>
      <w:keepNext/>
      <w:keepLines/>
      <w:jc w:val="center"/>
    </w:pPr>
    <w:rPr>
      <w:rFonts w:ascii="Calibri" w:cs="Calibri" w:eastAsia="Calibri" w:hAnsi="Calibri"/>
      <w:color w:val="344054"/>
      <w:sz w:val="22"/>
    </w:rPr>
  </w:style>
  <w:style w:styleId="Date" w:type="paragraph">
    <w:name w:val="Date"/>
    <w:next w:val="BodyText"/>
    <w:qFormat/>
    <w:pPr>
      <w:keepNext/>
      <w:keepLines/>
      <w:jc w:val="center"/>
    </w:pPr>
    <w:rPr>
      <w:rFonts w:ascii="Calibri" w:cs="Calibri" w:eastAsia="Calibri" w:hAnsi="Calibri"/>
      <w:color w:val="344054"/>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Calibri" w:cs="Calibri" w:eastAsia="Calibri" w:hAnsi="Calibri"/>
      <w:b/>
      <w:bCs/>
      <w:color w:val="1E60AE"/>
      <w:sz w:val="36"/>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color w:val="0F2A4A"/>
      <w:sz w:val="28"/>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color w:val="1E60AE"/>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b/>
      <w:bCs/>
      <w:color w:val="0F2A4A"/>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3CAD6" w:space="0" w:sz="4" w:val="single"/>
        <w:left w:color="C3CAD6" w:space="0" w:sz="4" w:val="single"/>
        <w:bottom w:color="C3CAD6" w:space="0" w:sz="4" w:val="single"/>
        <w:right w:color="C3CAD6" w:space="0" w:sz="4" w:val="single"/>
        <w:insideH w:color="C3CAD6" w:space="0" w:sz="4" w:val="single"/>
        <w:insideV w:color="C3CAD6" w:space="0" w:sz="4" w:val="single"/>
      </w:tblBorders>
      <w:tblCellMar>
        <w:top w:type="dxa" w:w="40"/>
        <w:left w:type="dxa" w:w="80"/>
        <w:bottom w:type="dxa" w:w="40"/>
        <w:right w:type="dxa" w:w="80"/>
      </w:tblCellMar>
    </w:tblPr>
    <w:tblStylePr w:type="firstRow">
      <w:rPr>
        <w:b/>
        <w:color w:val="FFFFFF"/>
      </w:rPr>
      <w:tcPr>
        <w:shd w:color="auto" w:fill="1E60A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color w:val="344054"/>
      <w:sz w:val="21"/>
    </w:rPr>
  </w:style>
  <w:style w:customStyle="1" w:styleId="ImageCaption" w:type="paragraph">
    <w:name w:val="Image Caption"/>
    <w:basedOn w:val="Caption"/>
    <w:rPr>
      <w:rFonts w:ascii="Calibri" w:cs="Calibri" w:eastAsia="Calibri" w:hAnsi="Calibri"/>
      <w:color w:val="344054"/>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2A4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E60AE"/>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52" Type="http://schemas.openxmlformats.org/officeDocument/2006/relationships/image" Target="media/rId5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MAINPLAN — GPHA Internal Audit Workspace (GIAW)</dc:title>
  <dc:creator>GPHA Internal Audit Department</dc:creator>
  <cp:keywords/>
  <dcterms:created xsi:type="dcterms:W3CDTF">2026-10-16T02:34:57Z</dcterms:created>
  <dcterms:modified xsi:type="dcterms:W3CDTF">2026-10-16T02:34:57Z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16 October 2026</vt:lpwstr>
  </property>
  <property fmtid="{D5CDD505-2E9C-101B-9397-08002B2CF9AE}" pid="3" name="subtitle">
    <vt:lpwstr>End-to-end project plan and conversion of the GPHA Internal Audit procedures and processes into GIAW · Submitted for approval</vt:lpwstr>
  </property>
</Properties>
</file>