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GIAW</w:t>
      </w:r>
      <w:r>
        <w:t xml:space="preserve"> </w:t>
      </w:r>
      <w:r>
        <w:t xml:space="preserve">—</w:t>
      </w:r>
      <w:r>
        <w:t xml:space="preserve"> </w:t>
      </w:r>
      <w:r>
        <w:t xml:space="preserve">Documentation</w:t>
      </w:r>
      <w:r>
        <w:t xml:space="preserve"> </w:t>
      </w:r>
      <w:r>
        <w:t xml:space="preserve">Index</w:t>
      </w:r>
    </w:p>
    <w:p>
      <w:pPr>
        <w:pStyle w:val="Subtitle"/>
      </w:pPr>
      <w:r>
        <w:t xml:space="preserve">The</w:t>
      </w:r>
      <w:r>
        <w:t xml:space="preserve"> </w:t>
      </w:r>
      <w:r>
        <w:t xml:space="preserve">complete</w:t>
      </w:r>
      <w:r>
        <w:t xml:space="preserve"> </w:t>
      </w:r>
      <w:r>
        <w:t xml:space="preserve">documentation</w:t>
      </w:r>
      <w:r>
        <w:t xml:space="preserve"> </w:t>
      </w:r>
      <w:r>
        <w:t xml:space="preserve">set</w:t>
      </w:r>
      <w:r>
        <w:t xml:space="preserve"> </w:t>
      </w:r>
      <w:r>
        <w:t xml:space="preserve">for</w:t>
      </w:r>
      <w:r>
        <w:t xml:space="preserve"> </w:t>
      </w:r>
      <w:r>
        <w:t xml:space="preserve">the</w:t>
      </w:r>
      <w:r>
        <w:t xml:space="preserve"> </w:t>
      </w:r>
      <w:r>
        <w:t xml:space="preserve">GPHA</w:t>
      </w:r>
      <w:r>
        <w:t xml:space="preserve"> </w:t>
      </w:r>
      <w:r>
        <w:t xml:space="preserve">Internal</w:t>
      </w:r>
      <w:r>
        <w:t xml:space="preserve"> </w:t>
      </w:r>
      <w:r>
        <w:t xml:space="preserve">Audit</w:t>
      </w:r>
      <w:r>
        <w:t xml:space="preserve"> </w:t>
      </w:r>
      <w:r>
        <w:t xml:space="preserve">Workspace</w:t>
      </w:r>
    </w:p>
    <w:p>
      <w:pPr>
        <w:pStyle w:val="Author"/>
      </w:pPr>
      <w:r>
        <w:t xml:space="preserve">GPHA</w:t>
      </w:r>
      <w:r>
        <w:t xml:space="preserve"> </w:t>
      </w:r>
      <w:r>
        <w:t xml:space="preserve">Internal</w:t>
      </w:r>
      <w:r>
        <w:t xml:space="preserve"> </w:t>
      </w:r>
      <w:r>
        <w:t xml:space="preserve">Audit</w:t>
      </w:r>
      <w:r>
        <w:t xml:space="preserve"> </w:t>
      </w:r>
      <w:r>
        <w:t xml:space="preserve">Department</w:t>
      </w:r>
    </w:p>
    <w:p>
      <w:pPr>
        <w:pStyle w:val="Date"/>
      </w:pPr>
      <w:r>
        <w:t xml:space="preserve">Version</w:t>
      </w:r>
      <w:r>
        <w:t xml:space="preserve"> </w:t>
      </w:r>
      <w:r>
        <w:t xml:space="preserve">1.0</w:t>
      </w:r>
      <w:r>
        <w:t xml:space="preserve"> </w:t>
      </w:r>
      <w:r>
        <w:t xml:space="preserve">·</w:t>
      </w:r>
      <w:r>
        <w:t xml:space="preserve"> </w:t>
      </w:r>
      <w:r>
        <w:t xml:space="preserve">16</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purpose"/>
    <w:p>
      <w:pPr>
        <w:pStyle w:val="Heading1"/>
      </w:pPr>
      <w:r>
        <w:t xml:space="preserve">1. Purpose</w:t>
      </w:r>
    </w:p>
    <w:p>
      <w:pPr>
        <w:pStyle w:val="FirstParagraph"/>
      </w:pPr>
      <w:r>
        <w:t xml:space="preserve">This index lists every document needed to build, run, govern, use and train people on the GPHA Internal Audit Workspace (GIAW). It shows the purpose, audience, format and status of each, plus the further documents GPHA still has to produce or approve.</w:t>
      </w:r>
    </w:p>
    <w:bookmarkEnd w:id="20"/>
    <w:bookmarkStart w:id="21" w:name="the-documentation-set-delivered"/>
    <w:p>
      <w:pPr>
        <w:pStyle w:val="Heading1"/>
      </w:pPr>
      <w:r>
        <w:t xml:space="preserve">2. The documentation set (delivered)</w:t>
      </w:r>
    </w:p>
    <w:p>
      <w:pPr>
        <w:pStyle w:val="FirstParagraph"/>
      </w:pPr>
      <w:r>
        <w:t xml:space="preserve">All documents are in</w:t>
      </w:r>
      <w:r>
        <w:t xml:space="preserve"> </w:t>
      </w:r>
      <w:r>
        <w:rPr>
          <w:rStyle w:val="VerbatimChar"/>
        </w:rPr>
        <w:t xml:space="preserve">docs/manuals/</w:t>
      </w:r>
      <w:r>
        <w:t xml:space="preserve"> </w:t>
      </w:r>
      <w:r>
        <w:t xml:space="preserve">in the project folder. Each one exists as Markdown (</w:t>
      </w:r>
      <w:r>
        <w:rPr>
          <w:rStyle w:val="VerbatimChar"/>
        </w:rPr>
        <w:t xml:space="preserve">.md</w:t>
      </w:r>
      <w:r>
        <w:t xml:space="preserve">, for version control) and as a Word document (</w:t>
      </w:r>
      <w:r>
        <w:rPr>
          <w:rStyle w:val="VerbatimChar"/>
        </w:rPr>
        <w:t xml:space="preserve">.docx</w:t>
      </w:r>
      <w:r>
        <w:t xml:space="preserve">, for reading, printing and approval). The training deck is a PowerPoint file.</w:t>
      </w:r>
    </w:p>
    <w:tbl>
      <w:tblPr>
        <w:tblStyle w:val="Table"/>
        <w:tblW w:type="pct" w:w="5000"/>
        <w:tblLook w:firstRow="1" w:lastRow="0" w:firstColumn="0" w:lastColumn="0" w:noHBand="0" w:noVBand="0" w:val="0020"/>
        <w:jc w:val="start"/>
      </w:tblPr>
      <w:tblGrid>
        <w:gridCol w:w="410"/>
        <w:gridCol w:w="1681"/>
        <w:gridCol w:w="1681"/>
        <w:gridCol w:w="1681"/>
        <w:gridCol w:w="1606"/>
        <w:gridCol w:w="859"/>
      </w:tblGrid>
      <w:tr>
        <w:trPr>
          <w:tblHeader w:val="true"/>
          <w:tblHeader w:val="true"/>
        </w:trPr>
        <w:tc>
          <w:tcPr>
            <w:shd w:val="clear" w:color="auto" w:fill="1E60AE"/>
          </w:tcPr>
          <w:p>
            <w:pPr>
              <w:pStyle w:val="Compact"/>
              <w:jc w:val="left"/>
            </w:pPr>
            <w:r>
              <w:rPr>
                <w:b/>
                <w:color w:val="FFFFFF"/>
              </w:rPr>
              <w:t xml:space="preserve">No.</w:t>
            </w:r>
          </w:p>
        </w:tc>
        <w:tc>
          <w:tcPr>
            <w:shd w:val="clear" w:color="auto" w:fill="1E60AE"/>
          </w:tcPr>
          <w:p>
            <w:pPr>
              <w:pStyle w:val="Compact"/>
              <w:jc w:val="left"/>
            </w:pPr>
            <w:r>
              <w:rPr>
                <w:b/>
                <w:color w:val="FFFFFF"/>
              </w:rPr>
              <w:t xml:space="preserve">Document</w:t>
            </w:r>
          </w:p>
        </w:tc>
        <w:tc>
          <w:tcPr>
            <w:shd w:val="clear" w:color="auto" w:fill="1E60AE"/>
          </w:tcPr>
          <w:p>
            <w:pPr>
              <w:pStyle w:val="Compact"/>
              <w:jc w:val="left"/>
            </w:pPr>
            <w:r>
              <w:rPr>
                <w:b/>
                <w:color w:val="FFFFFF"/>
              </w:rPr>
              <w:t xml:space="preserve">Purpose</w:t>
            </w:r>
          </w:p>
        </w:tc>
        <w:tc>
          <w:tcPr>
            <w:shd w:val="clear" w:color="auto" w:fill="1E60AE"/>
          </w:tcPr>
          <w:p>
            <w:pPr>
              <w:pStyle w:val="Compact"/>
              <w:jc w:val="left"/>
            </w:pPr>
            <w:r>
              <w:rPr>
                <w:b/>
                <w:color w:val="FFFFFF"/>
              </w:rPr>
              <w:t xml:space="preserve">Main audience</w:t>
            </w:r>
          </w:p>
        </w:tc>
        <w:tc>
          <w:tcPr>
            <w:shd w:val="clear" w:color="auto" w:fill="1E60AE"/>
          </w:tcPr>
          <w:p>
            <w:pPr>
              <w:pStyle w:val="Compact"/>
              <w:jc w:val="left"/>
            </w:pPr>
            <w:r>
              <w:rPr>
                <w:b/>
                <w:color w:val="FFFFFF"/>
              </w:rPr>
              <w:t xml:space="preserve">Files</w:t>
            </w:r>
          </w:p>
        </w:tc>
        <w:tc>
          <w:tcPr>
            <w:shd w:val="clear" w:color="auto" w:fill="1E60AE"/>
          </w:tcPr>
          <w:p>
            <w:pPr>
              <w:pStyle w:val="Compact"/>
              <w:jc w:val="left"/>
            </w:pPr>
            <w:r>
              <w:rPr>
                <w:b/>
                <w:color w:val="FFFFFF"/>
              </w:rPr>
              <w:t xml:space="preserve">Status</w:t>
            </w:r>
          </w:p>
        </w:tc>
      </w:tr>
      <w:tr>
        <w:tc>
          <w:tcPr/>
          <w:p>
            <w:pPr>
              <w:pStyle w:val="Compact"/>
              <w:jc w:val="left"/>
            </w:pPr>
            <w:r>
              <w:t xml:space="preserve">00</w:t>
            </w:r>
          </w:p>
        </w:tc>
        <w:tc>
          <w:tcPr/>
          <w:p>
            <w:pPr>
              <w:pStyle w:val="Compact"/>
              <w:jc w:val="left"/>
            </w:pPr>
            <w:r>
              <w:t xml:space="preserve">Documentation Index (this document)</w:t>
            </w:r>
          </w:p>
        </w:tc>
        <w:tc>
          <w:tcPr/>
          <w:p>
            <w:pPr>
              <w:pStyle w:val="Compact"/>
              <w:jc w:val="left"/>
            </w:pPr>
            <w:r>
              <w:t xml:space="preserve">Map of the whole set</w:t>
            </w:r>
          </w:p>
        </w:tc>
        <w:tc>
          <w:tcPr/>
          <w:p>
            <w:pPr>
              <w:pStyle w:val="Compact"/>
              <w:jc w:val="left"/>
            </w:pPr>
            <w:r>
              <w:t xml:space="preserve">Everyone</w:t>
            </w:r>
          </w:p>
        </w:tc>
        <w:tc>
          <w:tcPr/>
          <w:p>
            <w:pPr>
              <w:pStyle w:val="Compact"/>
              <w:jc w:val="left"/>
            </w:pPr>
            <w:r>
              <w:rPr>
                <w:rStyle w:val="VerbatimChar"/>
              </w:rPr>
              <w:t xml:space="preserve">00-Documentation-Index.md</w:t>
            </w:r>
            <w:r>
              <w:t xml:space="preserve"> </w:t>
            </w:r>
            <w:r>
              <w:t xml:space="preserve">/</w:t>
            </w:r>
            <w:r>
              <w:t xml:space="preserve"> </w:t>
            </w:r>
            <w:r>
              <w:rPr>
                <w:rStyle w:val="VerbatimChar"/>
              </w:rPr>
              <w:t xml:space="preserve">.docx</w:t>
            </w:r>
          </w:p>
        </w:tc>
        <w:tc>
          <w:tcPr/>
          <w:p>
            <w:pPr>
              <w:pStyle w:val="Compact"/>
              <w:jc w:val="left"/>
            </w:pPr>
            <w:r>
              <w:t xml:space="preserve">Issued</w:t>
            </w:r>
          </w:p>
        </w:tc>
      </w:tr>
      <w:tr>
        <w:tc>
          <w:tcPr/>
          <w:p>
            <w:pPr>
              <w:pStyle w:val="Compact"/>
              <w:jc w:val="left"/>
            </w:pPr>
            <w:r>
              <w:t xml:space="preserve">01</w:t>
            </w:r>
          </w:p>
        </w:tc>
        <w:tc>
          <w:tcPr/>
          <w:p>
            <w:pPr>
              <w:pStyle w:val="Compact"/>
              <w:jc w:val="left"/>
            </w:pPr>
            <w:r>
              <w:t xml:space="preserve">Technical Documentation</w:t>
            </w:r>
          </w:p>
        </w:tc>
        <w:tc>
          <w:tcPr/>
          <w:p>
            <w:pPr>
              <w:pStyle w:val="Compact"/>
              <w:jc w:val="left"/>
            </w:pPr>
            <w:r>
              <w:t xml:space="preserve">Architecture, modules, workflows, data model, security, API, background jobs, engineering practice, known limitations</w:t>
            </w:r>
          </w:p>
        </w:tc>
        <w:tc>
          <w:tcPr/>
          <w:p>
            <w:pPr>
              <w:pStyle w:val="Compact"/>
              <w:jc w:val="left"/>
            </w:pPr>
            <w:r>
              <w:t xml:space="preserve">Developers, IT, security reviewers</w:t>
            </w:r>
          </w:p>
        </w:tc>
        <w:tc>
          <w:tcPr/>
          <w:p>
            <w:pPr>
              <w:pStyle w:val="Compact"/>
              <w:jc w:val="left"/>
            </w:pPr>
            <w:r>
              <w:rPr>
                <w:rStyle w:val="VerbatimChar"/>
              </w:rPr>
              <w:t xml:space="preserve">01-Technical-Documentation.md</w:t>
            </w:r>
            <w:r>
              <w:t xml:space="preserve"> </w:t>
            </w:r>
            <w:r>
              <w:t xml:space="preserve">/</w:t>
            </w:r>
            <w:r>
              <w:t xml:space="preserve"> </w:t>
            </w:r>
            <w:r>
              <w:rPr>
                <w:rStyle w:val="VerbatimChar"/>
              </w:rPr>
              <w:t xml:space="preserve">.docx</w:t>
            </w:r>
          </w:p>
        </w:tc>
        <w:tc>
          <w:tcPr/>
          <w:p>
            <w:pPr>
              <w:pStyle w:val="Compact"/>
              <w:jc w:val="left"/>
            </w:pPr>
            <w:r>
              <w:t xml:space="preserve">Issued</w:t>
            </w:r>
          </w:p>
        </w:tc>
      </w:tr>
      <w:tr>
        <w:tc>
          <w:tcPr/>
          <w:p>
            <w:pPr>
              <w:pStyle w:val="Compact"/>
              <w:jc w:val="left"/>
            </w:pPr>
            <w:r>
              <w:t xml:space="preserve">02</w:t>
            </w:r>
          </w:p>
        </w:tc>
        <w:tc>
          <w:tcPr/>
          <w:p>
            <w:pPr>
              <w:pStyle w:val="Compact"/>
              <w:jc w:val="left"/>
            </w:pPr>
            <w:r>
              <w:t xml:space="preserve">Technology Stack</w:t>
            </w:r>
          </w:p>
        </w:tc>
        <w:tc>
          <w:tcPr/>
          <w:p>
            <w:pPr>
              <w:pStyle w:val="Compact"/>
              <w:jc w:val="left"/>
            </w:pPr>
            <w:r>
              <w:t xml:space="preserve">Components and versions, runtime topology, sizing, environments, what is not used and why, upgrade policy</w:t>
            </w:r>
          </w:p>
        </w:tc>
        <w:tc>
          <w:tcPr/>
          <w:p>
            <w:pPr>
              <w:pStyle w:val="Compact"/>
              <w:jc w:val="left"/>
            </w:pPr>
            <w:r>
              <w:t xml:space="preserve">IT management, infrastructure</w:t>
            </w:r>
          </w:p>
        </w:tc>
        <w:tc>
          <w:tcPr/>
          <w:p>
            <w:pPr>
              <w:pStyle w:val="Compact"/>
              <w:jc w:val="left"/>
            </w:pPr>
            <w:r>
              <w:rPr>
                <w:rStyle w:val="VerbatimChar"/>
              </w:rPr>
              <w:t xml:space="preserve">02-Technology-Stack.md</w:t>
            </w:r>
            <w:r>
              <w:t xml:space="preserve"> </w:t>
            </w:r>
            <w:r>
              <w:t xml:space="preserve">/</w:t>
            </w:r>
            <w:r>
              <w:t xml:space="preserve"> </w:t>
            </w:r>
            <w:r>
              <w:rPr>
                <w:rStyle w:val="VerbatimChar"/>
              </w:rPr>
              <w:t xml:space="preserve">.docx</w:t>
            </w:r>
          </w:p>
        </w:tc>
        <w:tc>
          <w:tcPr/>
          <w:p>
            <w:pPr>
              <w:pStyle w:val="Compact"/>
              <w:jc w:val="left"/>
            </w:pPr>
            <w:r>
              <w:t xml:space="preserve">Issued</w:t>
            </w:r>
          </w:p>
        </w:tc>
      </w:tr>
      <w:tr>
        <w:tc>
          <w:tcPr/>
          <w:p>
            <w:pPr>
              <w:pStyle w:val="Compact"/>
              <w:jc w:val="left"/>
            </w:pPr>
            <w:r>
              <w:t xml:space="preserve">03</w:t>
            </w:r>
          </w:p>
        </w:tc>
        <w:tc>
          <w:tcPr/>
          <w:p>
            <w:pPr>
              <w:pStyle w:val="Compact"/>
              <w:jc w:val="left"/>
            </w:pPr>
            <w:r>
              <w:t xml:space="preserve">Administration Guide</w:t>
            </w:r>
          </w:p>
        </w:tc>
        <w:tc>
          <w:tcPr/>
          <w:p>
            <w:pPr>
              <w:pStyle w:val="Compact"/>
              <w:jc w:val="left"/>
            </w:pPr>
            <w:r>
              <w:t xml:space="preserve">Installation (development and production),</w:t>
            </w:r>
            <w:r>
              <w:t xml:space="preserve"> </w:t>
            </w:r>
            <w:r>
              <w:rPr>
                <w:rStyle w:val="VerbatimChar"/>
              </w:rPr>
              <w:t xml:space="preserve">.env</w:t>
            </w:r>
            <w:r>
              <w:t xml:space="preserve"> </w:t>
            </w:r>
            <w:r>
              <w:t xml:space="preserve">settings, users and roles, reference data, configuration, apps &amp; customization, security operations, backups and restore, monitoring, troubleshooting, scripts</w:t>
            </w:r>
          </w:p>
        </w:tc>
        <w:tc>
          <w:tcPr/>
          <w:p>
            <w:pPr>
              <w:pStyle w:val="Compact"/>
              <w:jc w:val="left"/>
            </w:pPr>
            <w:r>
              <w:t xml:space="preserve">Super Administrators, Administrators, GPHA IT</w:t>
            </w:r>
          </w:p>
        </w:tc>
        <w:tc>
          <w:tcPr/>
          <w:p>
            <w:pPr>
              <w:pStyle w:val="Compact"/>
              <w:jc w:val="left"/>
            </w:pPr>
            <w:r>
              <w:rPr>
                <w:rStyle w:val="VerbatimChar"/>
              </w:rPr>
              <w:t xml:space="preserve">03-Administration-Guide.md</w:t>
            </w:r>
            <w:r>
              <w:t xml:space="preserve"> </w:t>
            </w:r>
            <w:r>
              <w:t xml:space="preserve">/</w:t>
            </w:r>
            <w:r>
              <w:t xml:space="preserve"> </w:t>
            </w:r>
            <w:r>
              <w:rPr>
                <w:rStyle w:val="VerbatimChar"/>
              </w:rPr>
              <w:t xml:space="preserve">.docx</w:t>
            </w:r>
          </w:p>
        </w:tc>
        <w:tc>
          <w:tcPr/>
          <w:p>
            <w:pPr>
              <w:pStyle w:val="Compact"/>
              <w:jc w:val="left"/>
            </w:pPr>
            <w:r>
              <w:t xml:space="preserve">Issued</w:t>
            </w:r>
          </w:p>
        </w:tc>
      </w:tr>
      <w:tr>
        <w:tc>
          <w:tcPr/>
          <w:p>
            <w:pPr>
              <w:pStyle w:val="Compact"/>
              <w:jc w:val="left"/>
            </w:pPr>
            <w:r>
              <w:t xml:space="preserve">04</w:t>
            </w:r>
          </w:p>
        </w:tc>
        <w:tc>
          <w:tcPr/>
          <w:p>
            <w:pPr>
              <w:pStyle w:val="Compact"/>
              <w:jc w:val="left"/>
            </w:pPr>
            <w:r>
              <w:t xml:space="preserve">Governance, Administration &amp; Operations Manual</w:t>
            </w:r>
          </w:p>
        </w:tc>
        <w:tc>
          <w:tcPr/>
          <w:p>
            <w:pPr>
              <w:pStyle w:val="Compact"/>
              <w:jc w:val="left"/>
            </w:pPr>
            <w:r>
              <w:t xml:space="preserve">Ownership and RACI, decision register, change control and release procedure, support model, data governance, routine operations, continuity, UAT and go-live checklist, templates</w:t>
            </w:r>
          </w:p>
        </w:tc>
        <w:tc>
          <w:tcPr/>
          <w:p>
            <w:pPr>
              <w:pStyle w:val="Compact"/>
              <w:jc w:val="left"/>
            </w:pPr>
            <w:r>
              <w:t xml:space="preserve">GM Audit, system owner, IT management</w:t>
            </w:r>
          </w:p>
        </w:tc>
        <w:tc>
          <w:tcPr/>
          <w:p>
            <w:pPr>
              <w:pStyle w:val="Compact"/>
              <w:jc w:val="left"/>
            </w:pPr>
            <w:r>
              <w:rPr>
                <w:rStyle w:val="VerbatimChar"/>
              </w:rPr>
              <w:t xml:space="preserve">04-Governance-and-Operations.md</w:t>
            </w:r>
            <w:r>
              <w:t xml:space="preserve"> </w:t>
            </w:r>
            <w:r>
              <w:t xml:space="preserve">/</w:t>
            </w:r>
            <w:r>
              <w:t xml:space="preserve"> </w:t>
            </w:r>
            <w:r>
              <w:rPr>
                <w:rStyle w:val="VerbatimChar"/>
              </w:rPr>
              <w:t xml:space="preserve">.docx</w:t>
            </w:r>
          </w:p>
        </w:tc>
        <w:tc>
          <w:tcPr/>
          <w:p>
            <w:pPr>
              <w:pStyle w:val="Compact"/>
              <w:jc w:val="left"/>
            </w:pPr>
            <w:r>
              <w:t xml:space="preserve">Draft for GPHA approval</w:t>
            </w:r>
          </w:p>
        </w:tc>
      </w:tr>
      <w:tr>
        <w:tc>
          <w:tcPr/>
          <w:p>
            <w:pPr>
              <w:pStyle w:val="Compact"/>
              <w:jc w:val="left"/>
            </w:pPr>
            <w:r>
              <w:t xml:space="preserve">05</w:t>
            </w:r>
          </w:p>
        </w:tc>
        <w:tc>
          <w:tcPr/>
          <w:p>
            <w:pPr>
              <w:pStyle w:val="Compact"/>
              <w:jc w:val="left"/>
            </w:pPr>
            <w:r>
              <w:t xml:space="preserve">User Manual (illustrated)</w:t>
            </w:r>
          </w:p>
        </w:tc>
        <w:tc>
          <w:tcPr/>
          <w:p>
            <w:pPr>
              <w:pStyle w:val="Compact"/>
              <w:jc w:val="left"/>
            </w:pPr>
            <w:r>
              <w:t xml:space="preserve">Screen-by-screen guide with 55 screenshots: getting started, lists and forms, audit management, resources, risk, compliance, analytics and reporting, auditees, FAQ, quick reference cards</w:t>
            </w:r>
          </w:p>
        </w:tc>
        <w:tc>
          <w:tcPr/>
          <w:p>
            <w:pPr>
              <w:pStyle w:val="Compact"/>
              <w:jc w:val="left"/>
            </w:pPr>
            <w:r>
              <w:t xml:space="preserve">All users</w:t>
            </w:r>
          </w:p>
        </w:tc>
        <w:tc>
          <w:tcPr/>
          <w:p>
            <w:pPr>
              <w:pStyle w:val="Compact"/>
              <w:jc w:val="left"/>
            </w:pPr>
            <w:r>
              <w:rPr>
                <w:rStyle w:val="VerbatimChar"/>
              </w:rPr>
              <w:t xml:space="preserve">05-User-Manual.md</w:t>
            </w:r>
            <w:r>
              <w:t xml:space="preserve"> </w:t>
            </w:r>
            <w:r>
              <w:t xml:space="preserve">/</w:t>
            </w:r>
            <w:r>
              <w:t xml:space="preserve"> </w:t>
            </w:r>
            <w:r>
              <w:rPr>
                <w:rStyle w:val="VerbatimChar"/>
              </w:rPr>
              <w:t xml:space="preserve">.docx</w:t>
            </w:r>
          </w:p>
        </w:tc>
        <w:tc>
          <w:tcPr/>
          <w:p>
            <w:pPr>
              <w:pStyle w:val="Compact"/>
              <w:jc w:val="left"/>
            </w:pPr>
            <w:r>
              <w:t xml:space="preserve">Issued</w:t>
            </w:r>
          </w:p>
        </w:tc>
      </w:tr>
      <w:tr>
        <w:tc>
          <w:tcPr/>
          <w:p>
            <w:pPr>
              <w:pStyle w:val="Compact"/>
              <w:jc w:val="left"/>
            </w:pPr>
            <w:r>
              <w:t xml:space="preserve">06</w:t>
            </w:r>
          </w:p>
        </w:tc>
        <w:tc>
          <w:tcPr/>
          <w:p>
            <w:pPr>
              <w:pStyle w:val="Compact"/>
              <w:jc w:val="left"/>
            </w:pPr>
            <w:r>
              <w:t xml:space="preserve">Training Guide</w:t>
            </w:r>
          </w:p>
        </w:tc>
        <w:tc>
          <w:tcPr/>
          <w:p>
            <w:pPr>
              <w:pStyle w:val="Compact"/>
              <w:jc w:val="left"/>
            </w:pPr>
            <w:r>
              <w:t xml:space="preserve">Learning outcomes, six training tracks, session plan, facilitator preparation, 20 hands-on exercises (reusable as UAT scripts), knowledge check with answers, evaluation and completion forms</w:t>
            </w:r>
          </w:p>
        </w:tc>
        <w:tc>
          <w:tcPr/>
          <w:p>
            <w:pPr>
              <w:pStyle w:val="Compact"/>
              <w:jc w:val="left"/>
            </w:pPr>
            <w:r>
              <w:t xml:space="preserve">Trainers, participants</w:t>
            </w:r>
          </w:p>
        </w:tc>
        <w:tc>
          <w:tcPr/>
          <w:p>
            <w:pPr>
              <w:pStyle w:val="Compact"/>
              <w:jc w:val="left"/>
            </w:pPr>
            <w:r>
              <w:rPr>
                <w:rStyle w:val="VerbatimChar"/>
              </w:rPr>
              <w:t xml:space="preserve">06-Training-Guide.md</w:t>
            </w:r>
            <w:r>
              <w:t xml:space="preserve"> </w:t>
            </w:r>
            <w:r>
              <w:t xml:space="preserve">/</w:t>
            </w:r>
            <w:r>
              <w:t xml:space="preserve"> </w:t>
            </w:r>
            <w:r>
              <w:rPr>
                <w:rStyle w:val="VerbatimChar"/>
              </w:rPr>
              <w:t xml:space="preserve">.docx</w:t>
            </w:r>
          </w:p>
        </w:tc>
        <w:tc>
          <w:tcPr/>
          <w:p>
            <w:pPr>
              <w:pStyle w:val="Compact"/>
              <w:jc w:val="left"/>
            </w:pPr>
            <w:r>
              <w:t xml:space="preserve">Issued</w:t>
            </w:r>
          </w:p>
        </w:tc>
      </w:tr>
      <w:tr>
        <w:tc>
          <w:tcPr/>
          <w:p>
            <w:pPr>
              <w:pStyle w:val="Compact"/>
              <w:jc w:val="left"/>
            </w:pPr>
            <w:r>
              <w:t xml:space="preserve">07</w:t>
            </w:r>
          </w:p>
        </w:tc>
        <w:tc>
          <w:tcPr/>
          <w:p>
            <w:pPr>
              <w:pStyle w:val="Compact"/>
              <w:jc w:val="left"/>
            </w:pPr>
            <w:r>
              <w:t xml:space="preserve">Training deck</w:t>
            </w:r>
          </w:p>
        </w:tc>
        <w:tc>
          <w:tcPr/>
          <w:p>
            <w:pPr>
              <w:pStyle w:val="Compact"/>
              <w:jc w:val="left"/>
            </w:pPr>
            <w:r>
              <w:t xml:space="preserve">Slides for instructor-led training, with screenshots and speaker notes</w:t>
            </w:r>
          </w:p>
        </w:tc>
        <w:tc>
          <w:tcPr/>
          <w:p>
            <w:pPr>
              <w:pStyle w:val="Compact"/>
              <w:jc w:val="left"/>
            </w:pPr>
            <w:r>
              <w:t xml:space="preserve">Trainers</w:t>
            </w:r>
          </w:p>
        </w:tc>
        <w:tc>
          <w:tcPr/>
          <w:p>
            <w:pPr>
              <w:pStyle w:val="Compact"/>
              <w:jc w:val="left"/>
            </w:pPr>
            <w:r>
              <w:rPr>
                <w:rStyle w:val="VerbatimChar"/>
              </w:rPr>
              <w:t xml:space="preserve">07-GIAW-Training-Deck.pptx</w:t>
            </w:r>
          </w:p>
        </w:tc>
        <w:tc>
          <w:tcPr/>
          <w:p>
            <w:pPr>
              <w:pStyle w:val="Compact"/>
              <w:jc w:val="left"/>
            </w:pPr>
            <w:r>
              <w:t xml:space="preserve">Issued</w:t>
            </w:r>
          </w:p>
        </w:tc>
      </w:tr>
      <w:tr>
        <w:tc>
          <w:tcPr/>
          <w:p>
            <w:pPr>
              <w:pStyle w:val="Compact"/>
              <w:jc w:val="left"/>
            </w:pPr>
            <w:r>
              <w:t xml:space="preserve">–</w:t>
            </w:r>
          </w:p>
        </w:tc>
        <w:tc>
          <w:tcPr/>
          <w:p>
            <w:pPr>
              <w:pStyle w:val="Compact"/>
              <w:jc w:val="left"/>
            </w:pPr>
            <w:r>
              <w:t xml:space="preserve">Images</w:t>
            </w:r>
          </w:p>
        </w:tc>
        <w:tc>
          <w:tcPr/>
          <w:p>
            <w:pPr>
              <w:pStyle w:val="Compact"/>
              <w:jc w:val="left"/>
            </w:pPr>
            <w:r>
              <w:t xml:space="preserve">Screenshots and diagrams used by the documents</w:t>
            </w:r>
          </w:p>
        </w:tc>
        <w:tc>
          <w:tcPr/>
          <w:p>
            <w:pPr>
              <w:pStyle w:val="Compact"/>
              <w:jc w:val="left"/>
            </w:pPr>
            <w:r>
              <w:t xml:space="preserve">–</w:t>
            </w:r>
          </w:p>
        </w:tc>
        <w:tc>
          <w:tcPr/>
          <w:p>
            <w:pPr>
              <w:pStyle w:val="Compact"/>
              <w:jc w:val="left"/>
            </w:pPr>
            <w:r>
              <w:rPr>
                <w:rStyle w:val="VerbatimChar"/>
              </w:rPr>
              <w:t xml:space="preserve">images/</w:t>
            </w:r>
          </w:p>
        </w:tc>
        <w:tc>
          <w:tcPr/>
          <w:p>
            <w:pPr>
              <w:pStyle w:val="Compact"/>
              <w:jc w:val="left"/>
            </w:pPr>
            <w:r>
              <w:t xml:space="preserve">–</w:t>
            </w:r>
          </w:p>
        </w:tc>
      </w:tr>
    </w:tbl>
    <w:bookmarkEnd w:id="21"/>
    <w:bookmarkStart w:id="22" w:name="X2b8ca852ba3168830a28a5d239ee39894d26276"/>
    <w:p>
      <w:pPr>
        <w:pStyle w:val="Heading1"/>
      </w:pPr>
      <w:r>
        <w:t xml:space="preserve">3. Existing project documents (already in the repository)</w:t>
      </w:r>
    </w:p>
    <w:tbl>
      <w:tblPr>
        <w:tblStyle w:val="Table"/>
        <w:tblW w:type="pct" w:w="5000"/>
        <w:tblLook w:firstRow="1" w:lastRow="0" w:firstColumn="0" w:lastColumn="0" w:noHBand="0" w:noVBand="0" w:val="0020"/>
        <w:jc w:val="start"/>
      </w:tblPr>
      <w:tblGrid>
        <w:gridCol w:w="1675"/>
        <w:gridCol w:w="2817"/>
        <w:gridCol w:w="3426"/>
      </w:tblGrid>
      <w:tr>
        <w:trPr>
          <w:tblHeader w:val="true"/>
          <w:tblHeader w:val="true"/>
        </w:trPr>
        <w:tc>
          <w:tcPr>
            <w:shd w:val="clear" w:color="auto" w:fill="1E60AE"/>
          </w:tcPr>
          <w:p>
            <w:pPr>
              <w:pStyle w:val="Compact"/>
              <w:jc w:val="left"/>
            </w:pPr>
            <w:r>
              <w:rPr>
                <w:b/>
                <w:color w:val="FFFFFF"/>
              </w:rPr>
              <w:t xml:space="preserve">Document</w:t>
            </w:r>
          </w:p>
        </w:tc>
        <w:tc>
          <w:tcPr>
            <w:shd w:val="clear" w:color="auto" w:fill="1E60AE"/>
          </w:tcPr>
          <w:p>
            <w:pPr>
              <w:pStyle w:val="Compact"/>
              <w:jc w:val="left"/>
            </w:pPr>
            <w:r>
              <w:rPr>
                <w:b/>
                <w:color w:val="FFFFFF"/>
              </w:rPr>
              <w:t xml:space="preserve">Location</w:t>
            </w:r>
          </w:p>
        </w:tc>
        <w:tc>
          <w:tcPr>
            <w:shd w:val="clear" w:color="auto" w:fill="1E60AE"/>
          </w:tcPr>
          <w:p>
            <w:pPr>
              <w:pStyle w:val="Compact"/>
              <w:jc w:val="left"/>
            </w:pPr>
            <w:r>
              <w:rPr>
                <w:b/>
                <w:color w:val="FFFFFF"/>
              </w:rPr>
              <w:t xml:space="preserve">Purpose</w:t>
            </w:r>
          </w:p>
        </w:tc>
      </w:tr>
      <w:tr>
        <w:tc>
          <w:tcPr/>
          <w:p>
            <w:pPr>
              <w:pStyle w:val="Compact"/>
              <w:jc w:val="left"/>
            </w:pPr>
            <w:r>
              <w:t xml:space="preserve">Main project blueprint</w:t>
            </w:r>
          </w:p>
        </w:tc>
        <w:tc>
          <w:tcPr/>
          <w:p>
            <w:pPr>
              <w:pStyle w:val="Compact"/>
              <w:jc w:val="left"/>
            </w:pPr>
            <w:r>
              <w:rPr>
                <w:rStyle w:val="VerbatimChar"/>
              </w:rPr>
              <w:t xml:space="preserve">mainBLUEPRINT.md</w:t>
            </w:r>
          </w:p>
        </w:tc>
        <w:tc>
          <w:tcPr/>
          <w:p>
            <w:pPr>
              <w:pStyle w:val="Compact"/>
              <w:jc w:val="left"/>
            </w:pPr>
            <w:r>
              <w:t xml:space="preserve">10 modules, 20 phases, workflows, security gates, test strategy, GPHA decisions</w:t>
            </w:r>
          </w:p>
        </w:tc>
      </w:tr>
      <w:tr>
        <w:tc>
          <w:tcPr/>
          <w:p>
            <w:pPr>
              <w:pStyle w:val="Compact"/>
              <w:jc w:val="left"/>
            </w:pPr>
            <w:r>
              <w:t xml:space="preserve">Technical blueprint</w:t>
            </w:r>
          </w:p>
        </w:tc>
        <w:tc>
          <w:tcPr/>
          <w:p>
            <w:pPr>
              <w:pStyle w:val="Compact"/>
              <w:jc w:val="left"/>
            </w:pPr>
            <w:r>
              <w:rPr>
                <w:rStyle w:val="VerbatimChar"/>
              </w:rPr>
              <w:t xml:space="preserve">giaw-fastAPI.md</w:t>
            </w:r>
          </w:p>
        </w:tc>
        <w:tc>
          <w:tcPr/>
          <w:p>
            <w:pPr>
              <w:pStyle w:val="Compact"/>
              <w:jc w:val="left"/>
            </w:pPr>
            <w:r>
              <w:t xml:space="preserve">Detailed engineering specification</w:t>
            </w:r>
          </w:p>
        </w:tc>
      </w:tr>
      <w:tr>
        <w:tc>
          <w:tcPr/>
          <w:p>
            <w:pPr>
              <w:pStyle w:val="Compact"/>
              <w:jc w:val="left"/>
            </w:pPr>
            <w:r>
              <w:t xml:space="preserve">UI redesign prompts</w:t>
            </w:r>
          </w:p>
        </w:tc>
        <w:tc>
          <w:tcPr/>
          <w:p>
            <w:pPr>
              <w:pStyle w:val="Compact"/>
              <w:jc w:val="left"/>
            </w:pPr>
            <w:r>
              <w:rPr>
                <w:rStyle w:val="VerbatimChar"/>
              </w:rPr>
              <w:t xml:space="preserve">UI_REDESIGN_PROMPTS.md</w:t>
            </w:r>
          </w:p>
        </w:tc>
        <w:tc>
          <w:tcPr/>
          <w:p>
            <w:pPr>
              <w:pStyle w:val="Compact"/>
              <w:jc w:val="left"/>
            </w:pPr>
            <w:r>
              <w:t xml:space="preserve">Interface design guidance</w:t>
            </w:r>
          </w:p>
        </w:tc>
      </w:tr>
      <w:tr>
        <w:tc>
          <w:tcPr/>
          <w:p>
            <w:pPr>
              <w:pStyle w:val="Compact"/>
              <w:jc w:val="left"/>
            </w:pPr>
            <w:r>
              <w:t xml:space="preserve">README</w:t>
            </w:r>
          </w:p>
        </w:tc>
        <w:tc>
          <w:tcPr/>
          <w:p>
            <w:pPr>
              <w:pStyle w:val="Compact"/>
              <w:jc w:val="left"/>
            </w:pPr>
            <w:r>
              <w:rPr>
                <w:rStyle w:val="VerbatimChar"/>
              </w:rPr>
              <w:t xml:space="preserve">README.md</w:t>
            </w:r>
          </w:p>
        </w:tc>
        <w:tc>
          <w:tcPr/>
          <w:p>
            <w:pPr>
              <w:pStyle w:val="Compact"/>
              <w:jc w:val="left"/>
            </w:pPr>
            <w:r>
              <w:t xml:space="preserve">Developer quick start and feature reference</w:t>
            </w:r>
          </w:p>
        </w:tc>
      </w:tr>
      <w:tr>
        <w:tc>
          <w:tcPr/>
          <w:p>
            <w:pPr>
              <w:pStyle w:val="Compact"/>
              <w:jc w:val="left"/>
            </w:pPr>
            <w:r>
              <w:t xml:space="preserve">Production setup</w:t>
            </w:r>
          </w:p>
        </w:tc>
        <w:tc>
          <w:tcPr/>
          <w:p>
            <w:pPr>
              <w:pStyle w:val="Compact"/>
              <w:jc w:val="left"/>
            </w:pPr>
            <w:r>
              <w:rPr>
                <w:rStyle w:val="VerbatimChar"/>
              </w:rPr>
              <w:t xml:space="preserve">deploy/PRODUCTION.md</w:t>
            </w:r>
          </w:p>
        </w:tc>
        <w:tc>
          <w:tcPr/>
          <w:p>
            <w:pPr>
              <w:pStyle w:val="Compact"/>
              <w:jc w:val="left"/>
            </w:pPr>
            <w:r>
              <w:t xml:space="preserve">Step-by-step production installation</w:t>
            </w:r>
          </w:p>
        </w:tc>
      </w:tr>
      <w:tr>
        <w:tc>
          <w:tcPr/>
          <w:p>
            <w:pPr>
              <w:pStyle w:val="Compact"/>
              <w:jc w:val="left"/>
            </w:pPr>
            <w:r>
              <w:t xml:space="preserve">Go-live checklist</w:t>
            </w:r>
          </w:p>
        </w:tc>
        <w:tc>
          <w:tcPr/>
          <w:p>
            <w:pPr>
              <w:pStyle w:val="Compact"/>
              <w:jc w:val="left"/>
            </w:pPr>
            <w:r>
              <w:rPr>
                <w:rStyle w:val="VerbatimChar"/>
              </w:rPr>
              <w:t xml:space="preserve">deploy/GO-LIVE-CHECKLIST.md</w:t>
            </w:r>
          </w:p>
        </w:tc>
        <w:tc>
          <w:tcPr/>
          <w:p>
            <w:pPr>
              <w:pStyle w:val="Compact"/>
              <w:jc w:val="left"/>
            </w:pPr>
            <w:r>
              <w:t xml:space="preserve">Readiness checks</w:t>
            </w:r>
          </w:p>
        </w:tc>
      </w:tr>
      <w:tr>
        <w:tc>
          <w:tcPr/>
          <w:p>
            <w:pPr>
              <w:pStyle w:val="Compact"/>
              <w:jc w:val="left"/>
            </w:pPr>
            <w:r>
              <w:t xml:space="preserve">UI design notes</w:t>
            </w:r>
          </w:p>
        </w:tc>
        <w:tc>
          <w:tcPr/>
          <w:p>
            <w:pPr>
              <w:pStyle w:val="Compact"/>
              <w:jc w:val="left"/>
            </w:pPr>
            <w:r>
              <w:rPr>
                <w:rStyle w:val="VerbatimChar"/>
              </w:rPr>
              <w:t xml:space="preserve">docs/ui/00</w:t>
            </w:r>
            <w:r>
              <w:t xml:space="preserve"> </w:t>
            </w:r>
            <w:r>
              <w:t xml:space="preserve">to</w:t>
            </w:r>
            <w:r>
              <w:t xml:space="preserve"> </w:t>
            </w:r>
            <w:r>
              <w:rPr>
                <w:rStyle w:val="VerbatimChar"/>
              </w:rPr>
              <w:t xml:space="preserve">06</w:t>
            </w:r>
          </w:p>
        </w:tc>
        <w:tc>
          <w:tcPr/>
          <w:p>
            <w:pPr>
              <w:pStyle w:val="Compact"/>
              <w:jc w:val="left"/>
            </w:pPr>
            <w:r>
              <w:t xml:space="preserve">Inventory, reference matrix, design system, data flow, screen contracts, universe, HighBond comparison</w:t>
            </w:r>
          </w:p>
        </w:tc>
      </w:tr>
      <w:tr>
        <w:tc>
          <w:tcPr/>
          <w:p>
            <w:pPr>
              <w:pStyle w:val="Compact"/>
              <w:jc w:val="left"/>
            </w:pPr>
            <w:r>
              <w:t xml:space="preserve">QA report</w:t>
            </w:r>
          </w:p>
        </w:tc>
        <w:tc>
          <w:tcPr/>
          <w:p>
            <w:pPr>
              <w:pStyle w:val="Compact"/>
              <w:jc w:val="left"/>
            </w:pPr>
            <w:r>
              <w:rPr>
                <w:rStyle w:val="VerbatimChar"/>
              </w:rPr>
              <w:t xml:space="preserve">docs/qa/2026-10-15-e2e-qa-report.md</w:t>
            </w:r>
          </w:p>
        </w:tc>
        <w:tc>
          <w:tcPr/>
          <w:p>
            <w:pPr>
              <w:pStyle w:val="Compact"/>
              <w:jc w:val="left"/>
            </w:pPr>
            <w:r>
              <w:t xml:space="preserve">End-to-end test results, findings, risk-engine assessment, go/no-go</w:t>
            </w:r>
          </w:p>
        </w:tc>
      </w:tr>
    </w:tbl>
    <w:bookmarkEnd w:id="22"/>
    <w:bookmarkStart w:id="23" w:name="X145fca60e9b8beb1fcb4ecf3d45fb550dd47029"/>
    <w:p>
      <w:pPr>
        <w:pStyle w:val="Heading1"/>
      </w:pPr>
      <w:r>
        <w:t xml:space="preserve">4. Documents GPHA still needs to produce or approve</w:t>
      </w:r>
    </w:p>
    <w:p>
      <w:pPr>
        <w:pStyle w:val="FirstParagraph"/>
      </w:pPr>
      <w:r>
        <w:t xml:space="preserve">These cannot be written by the developer alone. They need GPHA owners and decisions.</w:t>
      </w:r>
    </w:p>
    <w:tbl>
      <w:tblPr>
        <w:tblStyle w:val="Table"/>
        <w:tblW w:type="pct" w:w="5000"/>
        <w:tblLook w:firstRow="1" w:lastRow="0" w:firstColumn="0" w:lastColumn="0" w:noHBand="0" w:noVBand="0" w:val="0020"/>
        <w:jc w:val="start"/>
      </w:tblPr>
      <w:tblGrid>
        <w:gridCol w:w="2270"/>
        <w:gridCol w:w="2270"/>
        <w:gridCol w:w="1311"/>
        <w:gridCol w:w="2068"/>
      </w:tblGrid>
      <w:tr>
        <w:trPr>
          <w:tblHeader w:val="true"/>
          <w:tblHeader w:val="true"/>
        </w:trPr>
        <w:tc>
          <w:tcPr>
            <w:shd w:val="clear" w:color="auto" w:fill="1E60AE"/>
          </w:tcPr>
          <w:p>
            <w:pPr>
              <w:pStyle w:val="Compact"/>
              <w:jc w:val="left"/>
            </w:pPr>
            <w:r>
              <w:rPr>
                <w:b/>
                <w:color w:val="FFFFFF"/>
              </w:rPr>
              <w:t xml:space="preserve">Document</w:t>
            </w:r>
          </w:p>
        </w:tc>
        <w:tc>
          <w:tcPr>
            <w:shd w:val="clear" w:color="auto" w:fill="1E60AE"/>
          </w:tcPr>
          <w:p>
            <w:pPr>
              <w:pStyle w:val="Compact"/>
              <w:jc w:val="left"/>
            </w:pPr>
            <w:r>
              <w:rPr>
                <w:b/>
                <w:color w:val="FFFFFF"/>
              </w:rPr>
              <w:t xml:space="preserve">Why it is needed</w:t>
            </w:r>
          </w:p>
        </w:tc>
        <w:tc>
          <w:tcPr>
            <w:shd w:val="clear" w:color="auto" w:fill="1E60AE"/>
          </w:tcPr>
          <w:p>
            <w:pPr>
              <w:pStyle w:val="Compact"/>
              <w:jc w:val="left"/>
            </w:pPr>
            <w:r>
              <w:rPr>
                <w:b/>
                <w:color w:val="FFFFFF"/>
              </w:rPr>
              <w:t xml:space="preserve">Owner (suggested)</w:t>
            </w:r>
          </w:p>
        </w:tc>
        <w:tc>
          <w:tcPr>
            <w:shd w:val="clear" w:color="auto" w:fill="1E60AE"/>
          </w:tcPr>
          <w:p>
            <w:pPr>
              <w:pStyle w:val="Compact"/>
              <w:jc w:val="left"/>
            </w:pPr>
            <w:r>
              <w:rPr>
                <w:b/>
                <w:color w:val="FFFFFF"/>
              </w:rPr>
              <w:t xml:space="preserve">Template / source</w:t>
            </w:r>
          </w:p>
        </w:tc>
      </w:tr>
      <w:tr>
        <w:tc>
          <w:tcPr/>
          <w:p>
            <w:pPr>
              <w:pStyle w:val="Compact"/>
              <w:jc w:val="left"/>
            </w:pPr>
            <w:r>
              <w:t xml:space="preserve">Signed decision register (D1 to D16)</w:t>
            </w:r>
          </w:p>
        </w:tc>
        <w:tc>
          <w:tcPr/>
          <w:p>
            <w:pPr>
              <w:pStyle w:val="Compact"/>
              <w:jc w:val="left"/>
            </w:pPr>
            <w:r>
              <w:t xml:space="preserve">Production defaults must be formally approved</w:t>
            </w:r>
          </w:p>
        </w:tc>
        <w:tc>
          <w:tcPr/>
          <w:p>
            <w:pPr>
              <w:pStyle w:val="Compact"/>
              <w:jc w:val="left"/>
            </w:pPr>
            <w:r>
              <w:t xml:space="preserve">GM Audit</w:t>
            </w:r>
          </w:p>
        </w:tc>
        <w:tc>
          <w:tcPr/>
          <w:p>
            <w:pPr>
              <w:pStyle w:val="Compact"/>
              <w:jc w:val="left"/>
            </w:pPr>
            <w:r>
              <w:t xml:space="preserve">Governance manual §3</w:t>
            </w:r>
          </w:p>
        </w:tc>
      </w:tr>
      <w:tr>
        <w:tc>
          <w:tcPr/>
          <w:p>
            <w:pPr>
              <w:pStyle w:val="Compact"/>
              <w:jc w:val="left"/>
            </w:pPr>
            <w:r>
              <w:t xml:space="preserve">Internal Audit Charter and methodology manual (GPHA-approved)</w:t>
            </w:r>
          </w:p>
        </w:tc>
        <w:tc>
          <w:tcPr/>
          <w:p>
            <w:pPr>
              <w:pStyle w:val="Compact"/>
              <w:jc w:val="left"/>
            </w:pPr>
            <w:r>
              <w:t xml:space="preserve">GIAW configuration must follow the approved methodology</w:t>
            </w:r>
          </w:p>
        </w:tc>
        <w:tc>
          <w:tcPr/>
          <w:p>
            <w:pPr>
              <w:pStyle w:val="Compact"/>
              <w:jc w:val="left"/>
            </w:pPr>
            <w:r>
              <w:t xml:space="preserve">GM Audit / Audit Committee</w:t>
            </w:r>
          </w:p>
        </w:tc>
        <w:tc>
          <w:tcPr/>
          <w:p>
            <w:pPr>
              <w:pStyle w:val="Compact"/>
              <w:jc w:val="left"/>
            </w:pPr>
            <w:r>
              <w:t xml:space="preserve">IIA GIAS, IAA RBIA Manual</w:t>
            </w:r>
          </w:p>
        </w:tc>
      </w:tr>
      <w:tr>
        <w:tc>
          <w:tcPr/>
          <w:p>
            <w:pPr>
              <w:pStyle w:val="Compact"/>
              <w:jc w:val="left"/>
            </w:pPr>
            <w:r>
              <w:t xml:space="preserve">Records-retention and disposal schedule</w:t>
            </w:r>
          </w:p>
        </w:tc>
        <w:tc>
          <w:tcPr/>
          <w:p>
            <w:pPr>
              <w:pStyle w:val="Compact"/>
              <w:jc w:val="left"/>
            </w:pPr>
            <w:r>
              <w:t xml:space="preserve">Retention setting and disposal</w:t>
            </w:r>
          </w:p>
        </w:tc>
        <w:tc>
          <w:tcPr/>
          <w:p>
            <w:pPr>
              <w:pStyle w:val="Compact"/>
              <w:jc w:val="left"/>
            </w:pPr>
            <w:r>
              <w:t xml:space="preserve">Legal / Records</w:t>
            </w:r>
          </w:p>
        </w:tc>
        <w:tc>
          <w:tcPr/>
          <w:p>
            <w:pPr>
              <w:pStyle w:val="Compact"/>
              <w:jc w:val="left"/>
            </w:pPr>
            <w:r>
              <w:t xml:space="preserve">Governance manual §6</w:t>
            </w:r>
          </w:p>
        </w:tc>
      </w:tr>
      <w:tr>
        <w:tc>
          <w:tcPr/>
          <w:p>
            <w:pPr>
              <w:pStyle w:val="Compact"/>
              <w:jc w:val="left"/>
            </w:pPr>
            <w:r>
              <w:t xml:space="preserve">Data-protection assessment</w:t>
            </w:r>
          </w:p>
        </w:tc>
        <w:tc>
          <w:tcPr/>
          <w:p>
            <w:pPr>
              <w:pStyle w:val="Compact"/>
              <w:jc w:val="left"/>
            </w:pPr>
            <w:r>
              <w:t xml:space="preserve">Personal data in audit records</w:t>
            </w:r>
          </w:p>
        </w:tc>
        <w:tc>
          <w:tcPr/>
          <w:p>
            <w:pPr>
              <w:pStyle w:val="Compact"/>
              <w:jc w:val="left"/>
            </w:pPr>
            <w:r>
              <w:t xml:space="preserve">Legal</w:t>
            </w:r>
          </w:p>
        </w:tc>
        <w:tc>
          <w:tcPr/>
          <w:p>
            <w:pPr>
              <w:pStyle w:val="Compact"/>
              <w:jc w:val="left"/>
            </w:pPr>
            <w:r>
              <w:t xml:space="preserve">Ghana Data Protection Act, 2012 (Act 843)</w:t>
            </w:r>
          </w:p>
        </w:tc>
      </w:tr>
      <w:tr>
        <w:tc>
          <w:tcPr/>
          <w:p>
            <w:pPr>
              <w:pStyle w:val="Compact"/>
              <w:jc w:val="left"/>
            </w:pPr>
            <w:r>
              <w:t xml:space="preserve">IT security assessment and sign-off</w:t>
            </w:r>
          </w:p>
        </w:tc>
        <w:tc>
          <w:tcPr/>
          <w:p>
            <w:pPr>
              <w:pStyle w:val="Compact"/>
              <w:jc w:val="left"/>
            </w:pPr>
            <w:r>
              <w:t xml:space="preserve">Required before go-live</w:t>
            </w:r>
          </w:p>
        </w:tc>
        <w:tc>
          <w:tcPr/>
          <w:p>
            <w:pPr>
              <w:pStyle w:val="Compact"/>
              <w:jc w:val="left"/>
            </w:pPr>
            <w:r>
              <w:t xml:space="preserve">IT Security</w:t>
            </w:r>
          </w:p>
        </w:tc>
        <w:tc>
          <w:tcPr/>
          <w:p>
            <w:pPr>
              <w:pStyle w:val="Compact"/>
              <w:jc w:val="left"/>
            </w:pPr>
            <w:r>
              <w:t xml:space="preserve">Technical Documentation §6</w:t>
            </w:r>
          </w:p>
        </w:tc>
      </w:tr>
      <w:tr>
        <w:tc>
          <w:tcPr/>
          <w:p>
            <w:pPr>
              <w:pStyle w:val="Compact"/>
              <w:jc w:val="left"/>
            </w:pPr>
            <w:r>
              <w:t xml:space="preserve">Hosting and DR plan with RPO/RTO</w:t>
            </w:r>
          </w:p>
        </w:tc>
        <w:tc>
          <w:tcPr/>
          <w:p>
            <w:pPr>
              <w:pStyle w:val="Compact"/>
              <w:jc w:val="left"/>
            </w:pPr>
            <w:r>
              <w:t xml:space="preserve">Recovery objectives</w:t>
            </w:r>
          </w:p>
        </w:tc>
        <w:tc>
          <w:tcPr/>
          <w:p>
            <w:pPr>
              <w:pStyle w:val="Compact"/>
              <w:jc w:val="left"/>
            </w:pPr>
            <w:r>
              <w:t xml:space="preserve">GPHA IT</w:t>
            </w:r>
          </w:p>
        </w:tc>
        <w:tc>
          <w:tcPr/>
          <w:p>
            <w:pPr>
              <w:pStyle w:val="Compact"/>
              <w:jc w:val="left"/>
            </w:pPr>
            <w:r>
              <w:t xml:space="preserve">Governance manual §8</w:t>
            </w:r>
          </w:p>
        </w:tc>
      </w:tr>
      <w:tr>
        <w:tc>
          <w:tcPr/>
          <w:p>
            <w:pPr>
              <w:pStyle w:val="Compact"/>
              <w:jc w:val="left"/>
            </w:pPr>
            <w:r>
              <w:t xml:space="preserve">UAT plan, scripts and sign-off</w:t>
            </w:r>
          </w:p>
        </w:tc>
        <w:tc>
          <w:tcPr/>
          <w:p>
            <w:pPr>
              <w:pStyle w:val="Compact"/>
              <w:jc w:val="left"/>
            </w:pPr>
            <w:r>
              <w:t xml:space="preserve">Acceptance</w:t>
            </w:r>
          </w:p>
        </w:tc>
        <w:tc>
          <w:tcPr/>
          <w:p>
            <w:pPr>
              <w:pStyle w:val="Compact"/>
              <w:jc w:val="left"/>
            </w:pPr>
            <w:r>
              <w:t xml:space="preserve">System owner</w:t>
            </w:r>
          </w:p>
        </w:tc>
        <w:tc>
          <w:tcPr/>
          <w:p>
            <w:pPr>
              <w:pStyle w:val="Compact"/>
              <w:jc w:val="left"/>
            </w:pPr>
            <w:r>
              <w:t xml:space="preserve">Training Guide §4, Governance manual §9</w:t>
            </w:r>
          </w:p>
        </w:tc>
      </w:tr>
      <w:tr>
        <w:tc>
          <w:tcPr/>
          <w:p>
            <w:pPr>
              <w:pStyle w:val="Compact"/>
              <w:jc w:val="left"/>
            </w:pPr>
            <w:r>
              <w:t xml:space="preserve">Data migration plan</w:t>
            </w:r>
          </w:p>
        </w:tc>
        <w:tc>
          <w:tcPr/>
          <w:p>
            <w:pPr>
              <w:pStyle w:val="Compact"/>
              <w:jc w:val="left"/>
            </w:pPr>
            <w:r>
              <w:t xml:space="preserve">Loading org structure, universe, plan, open findings</w:t>
            </w:r>
          </w:p>
        </w:tc>
        <w:tc>
          <w:tcPr/>
          <w:p>
            <w:pPr>
              <w:pStyle w:val="Compact"/>
              <w:jc w:val="left"/>
            </w:pPr>
            <w:r>
              <w:t xml:space="preserve">System owner</w:t>
            </w:r>
          </w:p>
        </w:tc>
        <w:tc>
          <w:tcPr/>
          <w:p>
            <w:pPr>
              <w:pStyle w:val="Compact"/>
              <w:jc w:val="left"/>
            </w:pPr>
            <w:r>
              <w:t xml:space="preserve">Administration Guide §5</w:t>
            </w:r>
          </w:p>
        </w:tc>
      </w:tr>
      <w:tr>
        <w:tc>
          <w:tcPr/>
          <w:p>
            <w:pPr>
              <w:pStyle w:val="Compact"/>
              <w:jc w:val="left"/>
            </w:pPr>
            <w:r>
              <w:t xml:space="preserve">Service level agreement (support)</w:t>
            </w:r>
          </w:p>
        </w:tc>
        <w:tc>
          <w:tcPr/>
          <w:p>
            <w:pPr>
              <w:pStyle w:val="Compact"/>
              <w:jc w:val="left"/>
            </w:pPr>
            <w:r>
              <w:t xml:space="preserve">Support expectations</w:t>
            </w:r>
          </w:p>
        </w:tc>
        <w:tc>
          <w:tcPr/>
          <w:p>
            <w:pPr>
              <w:pStyle w:val="Compact"/>
              <w:jc w:val="left"/>
            </w:pPr>
            <w:r>
              <w:t xml:space="preserve">Sponsor / IT</w:t>
            </w:r>
          </w:p>
        </w:tc>
        <w:tc>
          <w:tcPr/>
          <w:p>
            <w:pPr>
              <w:pStyle w:val="Compact"/>
              <w:jc w:val="left"/>
            </w:pPr>
            <w:r>
              <w:t xml:space="preserve">Governance manual §5</w:t>
            </w:r>
          </w:p>
        </w:tc>
      </w:tr>
      <w:tr>
        <w:tc>
          <w:tcPr/>
          <w:p>
            <w:pPr>
              <w:pStyle w:val="Compact"/>
              <w:jc w:val="left"/>
            </w:pPr>
            <w:r>
              <w:t xml:space="preserve">Release notes (per release)</w:t>
            </w:r>
          </w:p>
        </w:tc>
        <w:tc>
          <w:tcPr/>
          <w:p>
            <w:pPr>
              <w:pStyle w:val="Compact"/>
              <w:jc w:val="left"/>
            </w:pPr>
            <w:r>
              <w:t xml:space="preserve">Record of changes</w:t>
            </w:r>
          </w:p>
        </w:tc>
        <w:tc>
          <w:tcPr/>
          <w:p>
            <w:pPr>
              <w:pStyle w:val="Compact"/>
              <w:jc w:val="left"/>
            </w:pPr>
            <w:r>
              <w:t xml:space="preserve">Developer</w:t>
            </w:r>
          </w:p>
        </w:tc>
        <w:tc>
          <w:tcPr/>
          <w:p>
            <w:pPr>
              <w:pStyle w:val="Compact"/>
              <w:jc w:val="left"/>
            </w:pPr>
            <w:r>
              <w:t xml:space="preserve">Change request form</w:t>
            </w:r>
          </w:p>
        </w:tc>
      </w:tr>
      <w:tr>
        <w:tc>
          <w:tcPr/>
          <w:p>
            <w:pPr>
              <w:pStyle w:val="Compact"/>
              <w:jc w:val="left"/>
            </w:pPr>
            <w:r>
              <w:t xml:space="preserve">Quick reference cards (printable, per role)</w:t>
            </w:r>
          </w:p>
        </w:tc>
        <w:tc>
          <w:tcPr/>
          <w:p>
            <w:pPr>
              <w:pStyle w:val="Compact"/>
              <w:jc w:val="left"/>
            </w:pPr>
            <w:r>
              <w:t xml:space="preserve">Day-one support</w:t>
            </w:r>
          </w:p>
        </w:tc>
        <w:tc>
          <w:tcPr/>
          <w:p>
            <w:pPr>
              <w:pStyle w:val="Compact"/>
              <w:jc w:val="left"/>
            </w:pPr>
            <w:r>
              <w:t xml:space="preserve">System owner</w:t>
            </w:r>
          </w:p>
        </w:tc>
        <w:tc>
          <w:tcPr/>
          <w:p>
            <w:pPr>
              <w:pStyle w:val="Compact"/>
              <w:jc w:val="left"/>
            </w:pPr>
            <w:r>
              <w:t xml:space="preserve">User Manual §11</w:t>
            </w:r>
          </w:p>
        </w:tc>
      </w:tr>
    </w:tbl>
    <w:bookmarkEnd w:id="23"/>
    <w:bookmarkStart w:id="24" w:name="keeping-the-documentation-current"/>
    <w:p>
      <w:pPr>
        <w:pStyle w:val="Heading1"/>
      </w:pPr>
      <w:r>
        <w:t xml:space="preserve">5. Keeping the documentation current</w:t>
      </w:r>
    </w:p>
    <w:p>
      <w:pPr>
        <w:numPr>
          <w:ilvl w:val="0"/>
          <w:numId w:val="1001"/>
        </w:numPr>
        <w:pStyle w:val="Compact"/>
      </w:pPr>
      <w:r>
        <w:t xml:space="preserve">Update documents 01, 03, 05, 06 and 07 at every release that changes screens or behaviour; 02 at every major release; 04 every year.</w:t>
      </w:r>
    </w:p>
    <w:p>
      <w:pPr>
        <w:numPr>
          <w:ilvl w:val="0"/>
          <w:numId w:val="1001"/>
        </w:numPr>
        <w:pStyle w:val="Compact"/>
      </w:pPr>
      <w:r>
        <w:t xml:space="preserve">Edit the Markdown file first, then regenerate the Word file (</w:t>
      </w:r>
      <w:r>
        <w:rPr>
          <w:rStyle w:val="VerbatimChar"/>
        </w:rPr>
        <w:t xml:space="preserve">pandoc</w:t>
      </w:r>
      <w:r>
        <w:t xml:space="preserve">, see §6) so the two never drift apart.</w:t>
      </w:r>
    </w:p>
    <w:p>
      <w:pPr>
        <w:numPr>
          <w:ilvl w:val="0"/>
          <w:numId w:val="1001"/>
        </w:numPr>
        <w:pStyle w:val="Compact"/>
      </w:pPr>
      <w:r>
        <w:t xml:space="preserve">Refresh the screenshots when screens change (</w:t>
      </w:r>
      <w:r>
        <w:rPr>
          <w:rStyle w:val="VerbatimChar"/>
        </w:rPr>
        <w:t xml:space="preserve">GPHA_UI_SHOTS</w:t>
      </w:r>
      <w:r>
        <w:t xml:space="preserve"> </w:t>
      </w:r>
      <w:r>
        <w:t xml:space="preserve">in the browser tests, or the documentation screenshot script).</w:t>
      </w:r>
    </w:p>
    <w:p>
      <w:pPr>
        <w:numPr>
          <w:ilvl w:val="0"/>
          <w:numId w:val="1001"/>
        </w:numPr>
        <w:pStyle w:val="Compact"/>
      </w:pPr>
      <w:r>
        <w:t xml:space="preserve">Record each new version in the document’s</w:t>
      </w:r>
      <w:r>
        <w:t xml:space="preserve"> </w:t>
      </w:r>
      <w:r>
        <w:rPr>
          <w:iCs/>
          <w:i/>
        </w:rPr>
        <w:t xml:space="preserve">Document control</w:t>
      </w:r>
      <w:r>
        <w:t xml:space="preserve"> </w:t>
      </w:r>
      <w:r>
        <w:t xml:space="preserve">table.</w:t>
      </w:r>
    </w:p>
    <w:bookmarkEnd w:id="24"/>
    <w:bookmarkStart w:id="25" w:name="how-the-word-files-are-produced"/>
    <w:p>
      <w:pPr>
        <w:pStyle w:val="Heading1"/>
      </w:pPr>
      <w:r>
        <w:t xml:space="preserve">6. How the Word files are produced</w:t>
      </w:r>
    </w:p>
    <w:p>
      <w:pPr>
        <w:pStyle w:val="FirstParagraph"/>
      </w:pPr>
      <w:r>
        <w:t xml:space="preserve">From the</w:t>
      </w:r>
      <w:r>
        <w:t xml:space="preserve"> </w:t>
      </w:r>
      <w:r>
        <w:rPr>
          <w:rStyle w:val="VerbatimChar"/>
        </w:rPr>
        <w:t xml:space="preserve">docs/manuals</w:t>
      </w:r>
      <w:r>
        <w:t xml:space="preserve"> </w:t>
      </w:r>
      <w:r>
        <w:t xml:space="preserve">folder:</w:t>
      </w:r>
    </w:p>
    <w:p>
      <w:pPr>
        <w:pStyle w:val="SourceCode"/>
      </w:pPr>
      <w:r>
        <w:rPr>
          <w:rStyle w:val="VerbatimChar"/>
        </w:rPr>
        <w:t xml:space="preserve">pandoc 05-User-Manual.md -o 05-User-Manual.docx --reference-doc=reference.docx --toc --resource-path=.</w:t>
      </w:r>
    </w:p>
    <w:p>
      <w:pPr>
        <w:pStyle w:val="FirstParagraph"/>
      </w:pPr>
      <w:r>
        <w:rPr>
          <w:rStyle w:val="VerbatimChar"/>
        </w:rPr>
        <w:t xml:space="preserve">reference.docx</w:t>
      </w:r>
      <w:r>
        <w:t xml:space="preserve"> </w:t>
      </w:r>
      <w:r>
        <w:t xml:space="preserve">holds the GPHA styles: fonts, heading colours and table style.</w:t>
      </w:r>
    </w:p>
    <w:bookmarkEnd w:id="25"/>
    <w:sectPr>
      <w:footerReference r:id="rId9" w:type="default"/>
      <w:pgMar w:bottom="1020"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344054"/>
        <w:sz w:val="16"/>
      </w:rPr>
      <w:t xml:space="preserve">GPHA Internal Audit Workspace (GIAW) · INTERNAL · Page </w:t>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344054"/>
      <w:sz w:val="21"/>
    </w:rPr>
  </w:style>
  <w:style w:styleId="BodyText" w:type="paragraph">
    <w:name w:val="Body Text"/>
    <w:basedOn w:val="Normal"/>
    <w:link w:val="BodyTextChar"/>
    <w:pPr>
      <w:spacing w:after="180" w:before="180"/>
    </w:pPr>
    <w:qFormat/>
    <w:rPr>
      <w:rFonts w:ascii="Calibri" w:cs="Calibri" w:eastAsia="Calibri" w:hAnsi="Calibri"/>
      <w:color w:val="344054"/>
      <w:sz w:val="21"/>
    </w:rPr>
  </w:style>
  <w:style w:customStyle="1" w:styleId="FirstParagraph" w:type="paragraph">
    <w:name w:val="First Paragraph"/>
    <w:basedOn w:val="BodyText"/>
    <w:next w:val="BodyText"/>
    <w:qFormat/>
    <w:rPr>
      <w:rFonts w:ascii="Calibri" w:cs="Calibri" w:eastAsia="Calibri" w:hAnsi="Calibri"/>
      <w:color w:val="344054"/>
      <w:sz w:val="21"/>
    </w:rPr>
  </w:style>
  <w:style w:customStyle="1" w:styleId="Compact" w:type="paragraph">
    <w:name w:val="Compact"/>
    <w:basedOn w:val="BodyText"/>
    <w:qFormat/>
    <w:pPr>
      <w:spacing w:after="36" w:before="36"/>
    </w:pPr>
    <w:rPr>
      <w:rFonts w:ascii="Calibri" w:cs="Calibri" w:eastAsia="Calibri" w:hAnsi="Calibri"/>
      <w:color w:val="344054"/>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0F2A4A"/>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1E60AE"/>
      <w:sz w:val="28"/>
      <w:szCs w:val="30"/>
    </w:rPr>
  </w:style>
  <w:style w:customStyle="1" w:styleId="Author" w:type="paragraph">
    <w:name w:val="Author"/>
    <w:next w:val="BodyText"/>
    <w:qFormat/>
    <w:pPr>
      <w:keepNext/>
      <w:keepLines/>
      <w:jc w:val="center"/>
    </w:pPr>
    <w:rPr>
      <w:rFonts w:ascii="Calibri" w:cs="Calibri" w:eastAsia="Calibri" w:hAnsi="Calibri"/>
      <w:color w:val="344054"/>
      <w:sz w:val="22"/>
    </w:rPr>
  </w:style>
  <w:style w:styleId="Date" w:type="paragraph">
    <w:name w:val="Date"/>
    <w:next w:val="BodyText"/>
    <w:qFormat/>
    <w:pPr>
      <w:keepNext/>
      <w:keepLines/>
      <w:jc w:val="center"/>
    </w:pPr>
    <w:rPr>
      <w:rFonts w:ascii="Calibri" w:cs="Calibri" w:eastAsia="Calibri" w:hAnsi="Calibri"/>
      <w:color w:val="344054"/>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Calibri" w:cs="Calibri" w:eastAsia="Calibri" w:hAnsi="Calibri"/>
      <w:b/>
      <w:bCs/>
      <w:color w:val="1E60AE"/>
      <w:sz w:val="36"/>
      <w:szCs w:val="32"/>
    </w:rPr>
  </w:style>
  <w:style w:styleId="Heading2" w:type="paragraph">
    <w:name w:val="Heading 2"/>
    <w:basedOn w:val="Normal"/>
    <w:next w:val="BodyText"/>
    <w:uiPriority w:val="9"/>
    <w:unhideWhenUsed/>
    <w:qFormat/>
    <w:pPr>
      <w:keepNext/>
      <w:keepLines/>
      <w:spacing w:after="80" w:before="200"/>
      <w:outlineLvl w:val="1"/>
    </w:pPr>
    <w:rPr>
      <w:rFonts w:ascii="Calibri" w:cs="Calibri" w:eastAsia="Calibri" w:hAnsi="Calibri"/>
      <w:b/>
      <w:bCs/>
      <w:color w:val="0F2A4A"/>
      <w:sz w:val="28"/>
      <w:szCs w:val="28"/>
    </w:rPr>
  </w:style>
  <w:style w:styleId="Heading3" w:type="paragraph">
    <w:name w:val="Heading 3"/>
    <w:basedOn w:val="Normal"/>
    <w:next w:val="BodyText"/>
    <w:uiPriority w:val="9"/>
    <w:unhideWhenUsed/>
    <w:qFormat/>
    <w:pPr>
      <w:keepNext/>
      <w:keepLines/>
      <w:spacing w:after="80" w:before="200"/>
      <w:outlineLvl w:val="2"/>
    </w:pPr>
    <w:rPr>
      <w:rFonts w:ascii="Calibri" w:cs="Calibri" w:eastAsia="Calibri" w:hAnsi="Calibri"/>
      <w:b/>
      <w:bCs/>
      <w:color w:val="1E60AE"/>
      <w:sz w:val="24"/>
      <w:szCs w:val="24"/>
    </w:rPr>
  </w:style>
  <w:style w:styleId="Heading4" w:type="paragraph">
    <w:name w:val="Heading 4"/>
    <w:basedOn w:val="Normal"/>
    <w:next w:val="BodyText"/>
    <w:uiPriority w:val="9"/>
    <w:unhideWhenUsed/>
    <w:qFormat/>
    <w:pPr>
      <w:keepNext/>
      <w:keepLines/>
      <w:spacing w:after="80" w:before="200"/>
      <w:outlineLvl w:val="3"/>
    </w:pPr>
    <w:rPr>
      <w:rFonts w:ascii="Calibri" w:cs="Calibri" w:eastAsia="Calibri" w:hAnsi="Calibri"/>
      <w:i/>
      <w:b/>
      <w:bCs/>
      <w:color w:val="0F2A4A"/>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C3CAD6" w:space="0" w:sz="4" w:val="single"/>
        <w:left w:color="C3CAD6" w:space="0" w:sz="4" w:val="single"/>
        <w:bottom w:color="C3CAD6" w:space="0" w:sz="4" w:val="single"/>
        <w:right w:color="C3CAD6" w:space="0" w:sz="4" w:val="single"/>
        <w:insideH w:color="C3CAD6" w:space="0" w:sz="4" w:val="single"/>
        <w:insideV w:color="C3CAD6" w:space="0" w:sz="4" w:val="single"/>
      </w:tblBorders>
      <w:tblCellMar>
        <w:top w:type="dxa" w:w="40"/>
        <w:left w:type="dxa" w:w="80"/>
        <w:bottom w:type="dxa" w:w="40"/>
        <w:right w:type="dxa" w:w="80"/>
      </w:tblCellMar>
    </w:tblPr>
    <w:tblStylePr w:type="firstRow">
      <w:rPr>
        <w:b/>
        <w:color w:val="FFFFFF"/>
      </w:rPr>
      <w:tcPr>
        <w:shd w:color="auto" w:fill="1E60AE"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cs="Calibri" w:eastAsia="Calibri" w:hAnsi="Calibri"/>
      <w:color w:val="344054"/>
      <w:sz w:val="21"/>
    </w:rPr>
  </w:style>
  <w:style w:customStyle="1" w:styleId="ImageCaption" w:type="paragraph">
    <w:name w:val="Image Caption"/>
    <w:basedOn w:val="Caption"/>
    <w:rPr>
      <w:rFonts w:ascii="Calibri" w:cs="Calibri" w:eastAsia="Calibri" w:hAnsi="Calibri"/>
      <w:color w:val="344054"/>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0F2A4A"/>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bCs w:val="0"/>
      <w:color w:val="1E60AE"/>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GIAW — Documentation Index</dc:title>
  <dc:creator>GPHA Internal Audit Department</dc:creator>
  <cp:keywords/>
  <dcterms:created xsi:type="dcterms:W3CDTF">2026-10-16T01:59:51Z</dcterms:created>
  <dcterms:modified xsi:type="dcterms:W3CDTF">2026-10-16T01:59:51Z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16 October 2026</vt:lpwstr>
  </property>
  <property fmtid="{D5CDD505-2E9C-101B-9397-08002B2CF9AE}" pid="3" name="subtitle">
    <vt:lpwstr>The complete documentation set for the GPHA Internal Audit Workspace</vt:lpwstr>
  </property>
</Properties>
</file>