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GIAW</w:t>
      </w:r>
      <w:r>
        <w:t xml:space="preserve"> </w:t>
      </w:r>
      <w:r>
        <w:t xml:space="preserve">—</w:t>
      </w:r>
      <w:r>
        <w:t xml:space="preserve"> </w:t>
      </w:r>
      <w:r>
        <w:t xml:space="preserve">Technology</w:t>
      </w:r>
      <w:r>
        <w:t xml:space="preserve"> </w:t>
      </w:r>
      <w:r>
        <w:t xml:space="preserve">Stack</w:t>
      </w:r>
    </w:p>
    <w:p>
      <w:pPr>
        <w:pStyle w:val="Subtitle"/>
      </w:pPr>
      <w:r>
        <w:t xml:space="preserve">Components,</w:t>
      </w:r>
      <w:r>
        <w:t xml:space="preserve"> </w:t>
      </w:r>
      <w:r>
        <w:t xml:space="preserve">versions,</w:t>
      </w:r>
      <w:r>
        <w:t xml:space="preserve"> </w:t>
      </w:r>
      <w:r>
        <w:t xml:space="preserve">hosting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choice</w:t>
      </w:r>
    </w:p>
    <w:p>
      <w:pPr>
        <w:pStyle w:val="Author"/>
      </w:pPr>
      <w:r>
        <w:t xml:space="preserve">GPHA</w:t>
      </w:r>
      <w:r>
        <w:t xml:space="preserve"> </w:t>
      </w:r>
      <w:r>
        <w:t xml:space="preserve">Internal</w:t>
      </w:r>
      <w:r>
        <w:t xml:space="preserve"> </w:t>
      </w:r>
      <w:r>
        <w:t xml:space="preserve">Audit</w:t>
      </w:r>
      <w:r>
        <w:t xml:space="preserve"> </w:t>
      </w:r>
      <w:r>
        <w:t xml:space="preserve">Department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16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1"/>
        <w:gridCol w:w="5748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4e0d386</w:t>
            </w:r>
            <w:r>
              <w:t xml:space="preserve">; versions below are those locked in</w:t>
            </w:r>
            <w:r>
              <w:t xml:space="preserve"> </w:t>
            </w:r>
            <w:r>
              <w:rPr>
                <w:rStyle w:val="VerbatimChar"/>
              </w:rPr>
              <w:t xml:space="preserve">uv.lock</w:t>
            </w:r>
            <w:r>
              <w:t xml:space="preserve"> </w:t>
            </w:r>
            <w:r>
              <w:t xml:space="preserve">on 16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management, infrastructure, security review,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Recorded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October 2026: the stack is</w:t>
            </w:r>
            <w:r>
              <w:t xml:space="preserve"> </w:t>
            </w:r>
            <w:r>
              <w:rPr>
                <w:bCs/>
                <w:b/>
              </w:rPr>
              <w:t xml:space="preserve">FastAPI + MySQL</w:t>
            </w:r>
            <w:r>
              <w:t xml:space="preserve"> </w:t>
            </w:r>
            <w:r>
              <w:t xml:space="preserve">with a plain JavaScript front end. React, TypeScript, Vite, Tailwind, Celery and Redis are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used.</w:t>
            </w:r>
          </w:p>
        </w:tc>
      </w:tr>
    </w:tbl>
    <w:bookmarkEnd w:id="20"/>
    <w:bookmarkStart w:id="21" w:name="stack-at-a-glance"/>
    <w:p>
      <w:pPr>
        <w:pStyle w:val="Heading1"/>
      </w:pPr>
      <w:r>
        <w:t xml:space="preserve">1. Stack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4"/>
        <w:gridCol w:w="1930"/>
        <w:gridCol w:w="2227"/>
        <w:gridCol w:w="2227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Layer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Technology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Why it was chosen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3.12+ (tested on 3.13)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Widely known; strong libraries for data, documents and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and environment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command installs exact, locked versions (</w:t>
            </w:r>
            <w:r>
              <w:rPr>
                <w:rStyle w:val="VerbatimChar"/>
              </w:rPr>
              <w:t xml:space="preserve">uv sync --frozen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Typed, fast and automatic validation; built-in API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ASGI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Production-grade server for FastAPI; runs as a Windows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Underlying FastAPI; middleware for security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/ pydantic-settings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2.14.1 / 2.15.0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validation and environment configuration (</w:t>
            </w:r>
            <w:r>
              <w:rPr>
                <w:rStyle w:val="VerbatimChar"/>
              </w:rPr>
              <w:t xml:space="preserve">GPHA_</w:t>
            </w:r>
            <w:r>
              <w:t xml:space="preserve"> </w:t>
            </w:r>
            <w:r>
              <w:t xml:space="preserve">prefix)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ORM with transactions and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Versioned, reviewable schema changes; applied at start-up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 (production target 8.4 LTS; Docker dev image 8.0)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GPHA-supported, robust, free; InnoDB with triggers for the append-only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Pure-Python driver, no compiler needed on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Industry-standard slow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Encrypts uploads and backups (</w:t>
            </w:r>
            <w:r>
              <w:rPr>
                <w:rStyle w:val="VerbatimChar"/>
              </w:rPr>
              <w:t xml:space="preserve">GPHA_ENCRYPTION_KEY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 and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Directory 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Active Directory bind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Reports, packs, engagement letters, controlled copies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exports and Excel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python-multipart, aiofiles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0.0.32, 25.1.0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 file upload, async file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addresses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HTML, CSS and JavaScript (ES2020)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build step, so no Node toolchain on the server; easy to audit and maintain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 and 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Icons, Inter (self-hosted)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external CDN calls; works offline and passes a strict 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 front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(Laragon) or Caddy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termination and reverse proxy (</w:t>
            </w:r>
            <w:r>
              <w:rPr>
                <w:rStyle w:val="VerbatimChar"/>
              </w:rPr>
              <w:t xml:space="preserve">deploy/laragon/gpha-audit.conf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deploy/Caddyfile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Uvicorn as a service that restarts after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+</w:t>
            </w:r>
            <w:r>
              <w:t xml:space="preserve"> </w:t>
            </w:r>
            <w:r>
              <w:rPr>
                <w:rStyle w:val="VerbatimChar"/>
              </w:rPr>
              <w:t xml:space="preserve">mysql:8.0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engine as production, on port 3307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pytest, httpx, Playwright (Chromium)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9.1.1, 0.28.1, 1.64.0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integration and browser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ruff, bandit, pip-audit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Lint, static security analysis, dependency vulnerability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Diagrams (docs)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and workflow diagrams in these documents</w:t>
            </w:r>
          </w:p>
        </w:tc>
      </w:tr>
    </w:tbl>
    <w:bookmarkEnd w:id="21"/>
    <w:bookmarkStart w:id="25" w:name="runtime-topology"/>
    <w:p>
      <w:pPr>
        <w:pStyle w:val="Heading1"/>
      </w:pPr>
      <w:r>
        <w:t xml:space="preserve">2. Runtime topology</w:t>
      </w:r>
    </w:p>
    <w:p>
      <w:pPr>
        <w:pStyle w:val="CaptionedFigure"/>
      </w:pPr>
      <w:r>
        <w:drawing>
          <wp:inline>
            <wp:extent cx="5334000" cy="2065903"/>
            <wp:effectExtent b="0" l="0" r="0" t="0"/>
            <wp:docPr descr="Production deployment" title="" id="23" name="Picture"/>
            <a:graphic>
              <a:graphicData uri="http://schemas.openxmlformats.org/drawingml/2006/picture">
                <pic:pic>
                  <pic:nvPicPr>
                    <pic:cNvPr descr="images/diagram-deplo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Production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05"/>
        <w:gridCol w:w="2200"/>
        <w:gridCol w:w="1885"/>
        <w:gridCol w:w="2828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Where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Port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Edge or Chrome; phones and tablets are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/ Caddy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GPHA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certificate from GPHA (or</w:t>
            </w:r>
            <w:r>
              <w:t xml:space="preserve"> </w:t>
            </w:r>
            <w:r>
              <w:rPr>
                <w:rStyle w:val="VerbatimChar"/>
              </w:rPr>
              <w:t xml:space="preserve">tls internal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GIAW (Uvicorn)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GPHA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127.0.0.1:8001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reachable through the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GPHA server (or a GPHA DB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3306 (prod), 3307 (dev Docker)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log_bin_trust_function_creators=1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disk:</w:t>
            </w:r>
            <w:r>
              <w:t xml:space="preserve"> </w:t>
            </w:r>
            <w:r>
              <w:rPr>
                <w:rStyle w:val="VerbatimChar"/>
              </w:rPr>
              <w:t xml:space="preserve">uploads\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backups\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Encrypted; include in server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 relay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GPHA Exchange / Microsoft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GPHA domain controllers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389/636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</w:tbl>
    <w:bookmarkEnd w:id="25"/>
    <w:bookmarkStart w:id="26" w:name="server-sizing-recommendation"/>
    <w:p>
      <w:pPr>
        <w:pStyle w:val="Heading1"/>
      </w:pPr>
      <w:r>
        <w:t xml:space="preserve">3. Server sizing (recommendation)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provisional recommendations</w:t>
      </w:r>
      <w:r>
        <w:t xml:space="preserve"> </w:t>
      </w:r>
      <w:r>
        <w:t xml:space="preserve">for about 50 to 150 users. Confirm them with GPHA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6"/>
        <w:gridCol w:w="3277"/>
        <w:gridCol w:w="3186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Resource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Minimum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2019 / Windows 10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GB (uploads grow with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disk or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Off-server copy, encrypted</w:t>
            </w:r>
          </w:p>
        </w:tc>
      </w:tr>
    </w:tbl>
    <w:bookmarkEnd w:id="26"/>
    <w:bookmarkStart w:id="27" w:name="environments"/>
    <w:p>
      <w:pPr>
        <w:pStyle w:val="Heading1"/>
      </w:pPr>
      <w:r>
        <w:t xml:space="preserve">4. Environments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22"/>
        <w:gridCol w:w="2620"/>
        <w:gridCol w:w="2620"/>
        <w:gridCol w:w="1455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Environment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testing (developer PC:</w:t>
            </w:r>
            <w:r>
              <w:t xml:space="preserve"> </w:t>
            </w:r>
            <w:r>
              <w:rPr>
                <w:rStyle w:val="VerbatimChar"/>
              </w:rPr>
              <w:t xml:space="preserve">.\run.ps1</w:t>
            </w:r>
            <w:r>
              <w:t xml:space="preserve">, http://127.0.0.1:8001)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 only (</w:t>
            </w:r>
            <w:r>
              <w:rPr>
                <w:rStyle w:val="VerbatimChar"/>
              </w:rPr>
              <w:t xml:space="preserve">scripts/seed_demo.py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MySQL on port 3307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(automated)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and dropped each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gpha_workspace_test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and release 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of production structure, synthetic or masked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GPHA data; starts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8.4</w:t>
            </w:r>
          </w:p>
        </w:tc>
      </w:tr>
    </w:tbl>
    <w:bookmarkEnd w:id="27"/>
    <w:bookmarkStart w:id="28" w:name="what-is-deliberately-not-used-and-why"/>
    <w:p>
      <w:pPr>
        <w:pStyle w:val="Heading1"/>
      </w:pPr>
      <w:r>
        <w:t xml:space="preserve">5. What is deliberately not used, and why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440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 used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/ TypeScript / Vite / 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 build pipeline and toolchain the GPHA team would have to maintain. The plain JavaScript design system covers the needs.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 /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work is light; in-process schedulers are enough and need no extra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CDNs and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and offline resilience; strict Content-Security-Policy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Cloud-only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GPHA hosts the system on its own infrastructure</w:t>
            </w:r>
          </w:p>
        </w:tc>
      </w:tr>
    </w:tbl>
    <w:bookmarkEnd w:id="28"/>
    <w:bookmarkStart w:id="29" w:name="X0d5bfd3f4b9f5f9fa482cc9b29e0ae46945e16e"/>
    <w:p>
      <w:pPr>
        <w:pStyle w:val="Heading1"/>
      </w:pPr>
      <w:r>
        <w:t xml:space="preserve">6. Upgrade and support policy (recommendation)</w:t>
      </w:r>
    </w:p>
    <w:p>
      <w:pPr>
        <w:numPr>
          <w:ilvl w:val="0"/>
          <w:numId w:val="1001"/>
        </w:numPr>
        <w:pStyle w:val="Compact"/>
      </w:pPr>
      <w:r>
        <w:t xml:space="preserve">Pin all versions in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. Upgrade quarterly in staging first, run the full test suite and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, then release.</w:t>
      </w:r>
    </w:p>
    <w:p>
      <w:pPr>
        <w:numPr>
          <w:ilvl w:val="0"/>
          <w:numId w:val="1001"/>
        </w:numPr>
        <w:pStyle w:val="Compact"/>
      </w:pPr>
      <w:r>
        <w:t xml:space="preserve">Apply Windows and MySQL security patches monthly.</w:t>
      </w:r>
    </w:p>
    <w:p>
      <w:pPr>
        <w:numPr>
          <w:ilvl w:val="0"/>
          <w:numId w:val="1001"/>
        </w:numPr>
        <w:pStyle w:val="Compact"/>
      </w:pPr>
      <w:r>
        <w:t xml:space="preserve">Keep Python on a supported release (3.12 or later).</w:t>
      </w:r>
    </w:p>
    <w:p>
      <w:pPr>
        <w:numPr>
          <w:ilvl w:val="0"/>
          <w:numId w:val="1001"/>
        </w:numPr>
        <w:pStyle w:val="Compact"/>
      </w:pPr>
      <w:r>
        <w:t xml:space="preserve">Review this document at every major release.</w:t>
      </w:r>
    </w:p>
    <w:bookmarkEnd w:id="29"/>
    <w:sectPr>
      <w:footerReference r:id="rId9" w:type="default"/>
      <w:pgMar w:bottom="1020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44054"/>
        <w:sz w:val="16"/>
      </w:rPr>
      <w:t xml:space="preserve">GPHA Internal Audit Workspace (GIAW) · INTERNAL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344054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34405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34405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344054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2A4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E60AE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eastAsia="Calibri" w:hAnsi="Calibri"/>
      <w:color w:val="344054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cs="Calibri" w:eastAsia="Calibri" w:hAnsi="Calibri"/>
      <w:color w:val="344054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cs="Calibri" w:eastAsia="Calibri" w:hAnsi="Calibri"/>
      <w:b/>
      <w:bCs/>
      <w:color w:val="1E60A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Calibri" w:cs="Calibri" w:eastAsia="Calibri" w:hAnsi="Calibri"/>
      <w:b/>
      <w:bCs/>
      <w:color w:val="0F2A4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1E60AE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cs="Calibri" w:eastAsia="Calibri" w:hAnsi="Calibri"/>
      <w:i/>
      <w:b/>
      <w:bCs/>
      <w:color w:val="0F2A4A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3CAD6" w:space="0" w:sz="4" w:val="single"/>
        <w:left w:color="C3CAD6" w:space="0" w:sz="4" w:val="single"/>
        <w:bottom w:color="C3CAD6" w:space="0" w:sz="4" w:val="single"/>
        <w:right w:color="C3CAD6" w:space="0" w:sz="4" w:val="single"/>
        <w:insideH w:color="C3CAD6" w:space="0" w:sz="4" w:val="single"/>
        <w:insideV w:color="C3CAD6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FFFFFF"/>
      </w:rPr>
      <w:tcPr>
        <w:shd w:color="auto" w:fill="1E60AE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color w:val="344054"/>
      <w:sz w:val="21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344054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2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1E60AE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GIAW — Technology Stack</dc:title>
  <dc:creator>GPHA Internal Audit Department</dc:creator>
  <cp:keywords/>
  <dcterms:created xsi:type="dcterms:W3CDTF">2026-10-16T01:59:52Z</dcterms:created>
  <dcterms:modified xsi:type="dcterms:W3CDTF">2026-10-16T01:59:52Z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16 October 2026</vt:lpwstr>
  </property>
  <property fmtid="{D5CDD505-2E9C-101B-9397-08002B2CF9AE}" pid="3" name="subtitle">
    <vt:lpwstr>Components, versions, hosting and the reasons for each choice</vt:lpwstr>
  </property>
</Properties>
</file>