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GIAW</w:t>
      </w:r>
      <w:r>
        <w:t xml:space="preserve"> </w:t>
      </w:r>
      <w:r>
        <w:t xml:space="preserve">—</w:t>
      </w:r>
      <w:r>
        <w:t xml:space="preserve"> </w:t>
      </w:r>
      <w:r>
        <w:t xml:space="preserve">Governance,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and</w:t>
      </w:r>
      <w:r>
        <w:t xml:space="preserve"> </w:t>
      </w:r>
      <w:r>
        <w:t xml:space="preserve">Operations</w:t>
      </w:r>
      <w:r>
        <w:t xml:space="preserve"> </w:t>
      </w:r>
      <w:r>
        <w:t xml:space="preserve">Manual</w:t>
      </w:r>
    </w:p>
    <w:p>
      <w:pPr>
        <w:pStyle w:val="Subtitle"/>
      </w:pPr>
      <w:r>
        <w:t xml:space="preserve">Ownership,</w:t>
      </w:r>
      <w:r>
        <w:t xml:space="preserve"> </w:t>
      </w:r>
      <w:r>
        <w:t xml:space="preserve">decisions,</w:t>
      </w:r>
      <w:r>
        <w:t xml:space="preserve"> </w:t>
      </w:r>
      <w:r>
        <w:t xml:space="preserve">change</w:t>
      </w:r>
      <w:r>
        <w:t xml:space="preserve"> </w:t>
      </w:r>
      <w:r>
        <w:t xml:space="preserve">control,</w:t>
      </w:r>
      <w:r>
        <w:t xml:space="preserve"> </w:t>
      </w:r>
      <w:r>
        <w:t xml:space="preserve">support,</w:t>
      </w:r>
      <w:r>
        <w:t xml:space="preserve"> </w:t>
      </w:r>
      <w:r>
        <w:t xml:space="preserve">data</w:t>
      </w:r>
      <w:r>
        <w:t xml:space="preserve"> </w:t>
      </w:r>
      <w:r>
        <w:t xml:space="preserve">governance,</w:t>
      </w:r>
      <w:r>
        <w:t xml:space="preserve"> </w:t>
      </w:r>
      <w:r>
        <w:t xml:space="preserve">go-live</w:t>
      </w:r>
      <w:r>
        <w:t xml:space="preserve"> </w:t>
      </w:r>
      <w:r>
        <w:t xml:space="preserve">and</w:t>
      </w:r>
      <w:r>
        <w:t xml:space="preserve"> </w:t>
      </w:r>
      <w:r>
        <w:t xml:space="preserve">continuity</w:t>
      </w:r>
    </w:p>
    <w:p>
      <w:pPr>
        <w:pStyle w:val="Author"/>
      </w:pPr>
      <w:r>
        <w:t xml:space="preserve">GPHA</w:t>
      </w:r>
      <w:r>
        <w:t xml:space="preserve"> </w:t>
      </w:r>
      <w:r>
        <w:t xml:space="preserve">Internal</w:t>
      </w:r>
      <w:r>
        <w:t xml:space="preserve"> </w:t>
      </w:r>
      <w:r>
        <w:t xml:space="preserve">Audit</w:t>
      </w:r>
      <w:r>
        <w:t xml:space="preserve"> </w:t>
      </w:r>
      <w:r>
        <w:t xml:space="preserve">Department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16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55"/>
        <w:gridCol w:w="6364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Administration and Operations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(draft for GPHA approval)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Audit, system owner, project sponsor, GPHA IT management, Audit Committee secretariat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iCs/>
                <w:i/>
              </w:rPr>
              <w:t xml:space="preserve">GPHA to decide</w:t>
            </w:r>
            <w:r>
              <w:t xml:space="preserve"> </w:t>
            </w:r>
            <w:r>
              <w:t xml:space="preserve">need formal approval.</w:t>
            </w:r>
          </w:p>
        </w:tc>
      </w:tr>
    </w:tbl>
    <w:p>
      <w:pPr>
        <w:pStyle w:val="BlockText"/>
      </w:pPr>
      <w:r>
        <w:t xml:space="preserve">This manual sets out how GIAW is owned, changed, supported and kept safe. It does not replace GPHA policies. Where a GPHA policy exists, that policy governs and this manual should reference it.</w:t>
      </w:r>
    </w:p>
    <w:bookmarkEnd w:id="20"/>
    <w:bookmarkStart w:id="21" w:name="purpose-and-objectives-of-giaw"/>
    <w:p>
      <w:pPr>
        <w:pStyle w:val="Heading1"/>
      </w:pPr>
      <w:r>
        <w:t xml:space="preserve">1. Purpose and objectives of GIAW</w:t>
      </w:r>
    </w:p>
    <w:p>
      <w:pPr>
        <w:pStyle w:val="FirstParagraph"/>
      </w:pPr>
      <w:r>
        <w:t xml:space="preserve">GIAW replaces the retired</w:t>
      </w:r>
      <w:r>
        <w:t xml:space="preserve"> </w:t>
      </w:r>
      <w:r>
        <w:rPr>
          <w:iCs/>
          <w:i/>
        </w:rPr>
        <w:t xml:space="preserve">Audit Manager</w:t>
      </w:r>
      <w:r>
        <w:t xml:space="preserve"> </w:t>
      </w:r>
      <w:r>
        <w:t xml:space="preserve">application. It gives GPHA Internal Audit one controlled system for:</w:t>
      </w:r>
    </w:p>
    <w:p>
      <w:pPr>
        <w:numPr>
          <w:ilvl w:val="0"/>
          <w:numId w:val="1001"/>
        </w:numPr>
        <w:pStyle w:val="Compact"/>
      </w:pPr>
      <w:r>
        <w:t xml:space="preserve">risk-based planning and Audit Committee approval of the annual plan;</w:t>
      </w:r>
    </w:p>
    <w:p>
      <w:pPr>
        <w:numPr>
          <w:ilvl w:val="0"/>
          <w:numId w:val="1001"/>
        </w:numPr>
        <w:pStyle w:val="Compact"/>
      </w:pPr>
      <w:r>
        <w:t xml:space="preserve">executing and documenting engagements, with review and sign-off evidence;</w:t>
      </w:r>
    </w:p>
    <w:p>
      <w:pPr>
        <w:numPr>
          <w:ilvl w:val="0"/>
          <w:numId w:val="1001"/>
        </w:numPr>
        <w:pStyle w:val="Compact"/>
      </w:pPr>
      <w:r>
        <w:t xml:space="preserve">issuing reports and following up management actions to verified closure;</w:t>
      </w:r>
    </w:p>
    <w:p>
      <w:pPr>
        <w:numPr>
          <w:ilvl w:val="0"/>
          <w:numId w:val="1001"/>
        </w:numPr>
        <w:pStyle w:val="Compact"/>
      </w:pPr>
      <w:r>
        <w:t xml:space="preserve">consolidated reporting for HQ, Tema and Takoradi, the Audit Committee and the IAA;</w:t>
      </w:r>
    </w:p>
    <w:p>
      <w:pPr>
        <w:numPr>
          <w:ilvl w:val="0"/>
          <w:numId w:val="1001"/>
        </w:numPr>
        <w:pStyle w:val="Compact"/>
      </w:pPr>
      <w:r>
        <w:t xml:space="preserve">quality assurance (QAIP) and professional practice records.</w:t>
      </w:r>
    </w:p>
    <w:bookmarkEnd w:id="21"/>
    <w:bookmarkStart w:id="22" w:name="X5af6012a038663cf92de30d099d85e666723e3c"/>
    <w:p>
      <w:pPr>
        <w:pStyle w:val="Heading1"/>
      </w:pPr>
      <w:r>
        <w:t xml:space="preserve">2. Governance structure and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92"/>
        <w:gridCol w:w="2088"/>
        <w:gridCol w:w="3240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Who (</w:t>
            </w:r>
            <w:r>
              <w:rPr>
                <w:iCs/>
                <w:b/>
                <w:i/>
                <w:color w:val="FFFFFF"/>
              </w:rPr>
              <w:t xml:space="preserve">GPHA to name</w:t>
            </w:r>
            <w:r>
              <w:rPr>
                <w:b/>
                <w:color w:val="FFFFFF"/>
              </w:rPr>
              <w:t xml:space="preserve">)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 (CAE)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the business case; approves scope, go-live and major changes; chairs the steering meeting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Internal Audit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Day-to-day ownership; prioritises changes; approves configuration changes and user access; keeps the decision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Administrators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IA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&amp; permissions, app customization, appointing administrators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IA / IT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configuration, reference data, backups,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GPHA IT (infrastructure)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Server, database, network, certificate, patching, off-server backups,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review before go-live; vulnerability management; incident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/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Data-protection and records-retention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/ maintainer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or contracted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Changes, fixes, releases, technical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users (one per port / HQ 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auditors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 help, training support, feedback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Receives plan, reports and follow-up outputs (via the Committee pack)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RACI for key activities</w:t>
      </w:r>
      <w:r>
        <w:t xml:space="preserve"> </w:t>
      </w:r>
      <w:r>
        <w:t xml:space="preserve">(R = responsible, A = accountable, C = consulted, I = informed)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52"/>
        <w:gridCol w:w="946"/>
        <w:gridCol w:w="1033"/>
        <w:gridCol w:w="946"/>
        <w:gridCol w:w="946"/>
        <w:gridCol w:w="946"/>
        <w:gridCol w:w="946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Activity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Sponsor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System owner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Super Admin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Developer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scope and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user / role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(deploy)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and restore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(attend)</w:t>
            </w:r>
          </w:p>
        </w:tc>
      </w:tr>
    </w:tbl>
    <w:bookmarkEnd w:id="22"/>
    <w:bookmarkStart w:id="23" w:name="decision-register"/>
    <w:p>
      <w:pPr>
        <w:pStyle w:val="Heading1"/>
      </w:pPr>
      <w:r>
        <w:t xml:space="preserve">3. Decision register</w:t>
      </w:r>
    </w:p>
    <w:p>
      <w:pPr>
        <w:pStyle w:val="FirstParagraph"/>
      </w:pPr>
      <w:r>
        <w:t xml:space="preserve">The decisions below come from</w:t>
      </w:r>
      <w:r>
        <w:t xml:space="preserve"> </w:t>
      </w:r>
      <w:r>
        <w:rPr>
          <w:rStyle w:val="VerbatimChar"/>
        </w:rPr>
        <w:t xml:space="preserve">mainBLUEPRINT.md</w:t>
      </w:r>
      <w:r>
        <w:t xml:space="preserve"> </w:t>
      </w:r>
      <w:r>
        <w:t xml:space="preserve">§13 and the QA report of 15 October 2026. The system has working defaults, but each one needs a formal GPHA decision before production.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50"/>
        <w:gridCol w:w="2659"/>
        <w:gridCol w:w="2659"/>
        <w:gridCol w:w="1300"/>
        <w:gridCol w:w="650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Decision needed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Current default in GIAW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Decided by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HQ / Tema / Takoradi hierarchy and authoritative org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entity types; demo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Roles, delegated approval authority, separation-of-duties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job roles; review levels Unit Head, Manager, PIA, CAE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approval recording and plan distribution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decision recorded on plan; GM Audit distributes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 /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scoring scales and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5×5 likelihood × impact; High/Medium thresholds 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year and planning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 /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types and report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audit types; Word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classifications and auditee access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/ Internal / Confidential / Restricted; auditees see only assigned audits and published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 /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Retention, legal hold and disposal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audit files kept N years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Hosting, identity provider, e-mail relay, storage, recovery objectives (RPO/RTO)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server; local accounts or AD; SMTP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/ GM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sources and data quality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Integrations and AI use cases / data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off; no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 / IT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sign-off owners and production support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Audit Committee members have read-only accounts? (QA-03)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possible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for two people editing the same record (QA-02)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save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third-party risk management (TPRM) in scope?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third-party register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levels, password on sign-off, dropped screens (blueprint decision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levels; password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Record every decision with the date, decision-maker, reference (memo or minutes) and the configuration change it causes.</w:t>
      </w:r>
    </w:p>
    <w:bookmarkEnd w:id="23"/>
    <w:bookmarkStart w:id="27" w:name="change-control"/>
    <w:p>
      <w:pPr>
        <w:pStyle w:val="Heading1"/>
      </w:pPr>
      <w:r>
        <w:t xml:space="preserve">4. Change control</w:t>
      </w:r>
    </w:p>
    <w:bookmarkStart w:id="24" w:name="types-of-change"/>
    <w:p>
      <w:pPr>
        <w:pStyle w:val="Heading2"/>
      </w:pPr>
      <w:r>
        <w:t xml:space="preserve">4.1 Types of change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6"/>
        <w:gridCol w:w="2284"/>
        <w:gridCol w:w="2284"/>
        <w:gridCol w:w="2284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Examples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Approval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business rule, list value, KPI target, holiday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on screen by an administrator; logged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user, role change, leaver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 (or line manager for auditees)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software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Label, small fix, report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→ test → staging →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software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module, workflow change, data model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(steering)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request → impact assessment → build → test → UAT →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issue, data-loss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 (with retrospective sponsor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Hot-fix release; record afterwards</w:t>
            </w:r>
          </w:p>
        </w:tc>
      </w:tr>
    </w:tbl>
    <w:bookmarkEnd w:id="24"/>
    <w:bookmarkStart w:id="25" w:name="change-request-form-template"/>
    <w:p>
      <w:pPr>
        <w:pStyle w:val="Heading2"/>
      </w:pPr>
      <w:r>
        <w:t xml:space="preserve">4.2 Change request form (template)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09"/>
        <w:gridCol w:w="3210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CR-YYYY-NNN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 by /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 of the change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 / benefit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Affected apps, roles and data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if not done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 (data, security, training, documents)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/ High / Medium /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by /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Released in version / 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release-procedure"/>
    <w:p>
      <w:pPr>
        <w:pStyle w:val="Heading2"/>
      </w:pPr>
      <w:r>
        <w:t xml:space="preserve">4.3 Release procedure</w:t>
      </w:r>
    </w:p>
    <w:p>
      <w:pPr>
        <w:numPr>
          <w:ilvl w:val="0"/>
          <w:numId w:val="1002"/>
        </w:numPr>
        <w:pStyle w:val="Compact"/>
      </w:pPr>
      <w:r>
        <w:t xml:space="preserve">Every change is made in source control on a branch and reviewed.</w:t>
      </w:r>
    </w:p>
    <w:p>
      <w:pPr>
        <w:numPr>
          <w:ilvl w:val="0"/>
          <w:numId w:val="1002"/>
        </w:numPr>
        <w:pStyle w:val="Compact"/>
      </w:pPr>
      <w:r>
        <w:t xml:space="preserve">Automated checks must pass: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uv run pytest -q --ignore=tests/ui</w:t>
      </w:r>
      <w:r>
        <w:t xml:space="preserve"> </w:t>
      </w:r>
      <w:r>
        <w:t xml:space="preserve">(150 tests);</w:t>
      </w:r>
    </w:p>
    <w:p>
      <w:pPr>
        <w:numPr>
          <w:ilvl w:val="1"/>
          <w:numId w:val="1003"/>
        </w:numPr>
        <w:pStyle w:val="Compact"/>
      </w:pPr>
      <w:r>
        <w:t xml:space="preserve">the browser tests;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ruff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pip-audit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Deploy to</w:t>
      </w:r>
      <w:r>
        <w:t xml:space="preserve"> </w:t>
      </w:r>
      <w:r>
        <w:rPr>
          <w:bCs/>
          <w:b/>
        </w:rPr>
        <w:t xml:space="preserve">staging</w:t>
      </w:r>
      <w:r>
        <w:t xml:space="preserve">. The system owner or a super user confirms the change.</w:t>
      </w:r>
    </w:p>
    <w:p>
      <w:pPr>
        <w:numPr>
          <w:ilvl w:val="0"/>
          <w:numId w:val="1002"/>
        </w:numPr>
        <w:pStyle w:val="Compact"/>
      </w:pPr>
      <w:r>
        <w:t xml:space="preserve">Agree a release window and announce it to users.</w:t>
      </w:r>
    </w:p>
    <w:p>
      <w:pPr>
        <w:numPr>
          <w:ilvl w:val="0"/>
          <w:numId w:val="1002"/>
        </w:numPr>
        <w:pStyle w:val="Compact"/>
      </w:pPr>
      <w:r>
        <w:t xml:space="preserve">Back up production, deploy (Administration Guide §2.3), then smoke-test:</w:t>
      </w:r>
    </w:p>
    <w:p>
      <w:pPr>
        <w:numPr>
          <w:ilvl w:val="1"/>
          <w:numId w:val="1004"/>
        </w:numPr>
        <w:pStyle w:val="Compact"/>
      </w:pPr>
      <w:r>
        <w:t xml:space="preserve">sign in;</w:t>
      </w:r>
    </w:p>
    <w:p>
      <w:pPr>
        <w:numPr>
          <w:ilvl w:val="1"/>
          <w:numId w:val="1004"/>
        </w:numPr>
        <w:pStyle w:val="Compact"/>
      </w:pPr>
      <w:r>
        <w:t xml:space="preserve">open Audits and Task Tracker;</w:t>
      </w:r>
    </w:p>
    <w:p>
      <w:pPr>
        <w:numPr>
          <w:ilvl w:val="1"/>
          <w:numId w:val="1004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Update the release notes, the documentation and the decision register.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Rollback:</w:t>
      </w:r>
      <w:r>
        <w:t xml:space="preserve"> </w:t>
      </w:r>
      <w:r>
        <w:t xml:space="preserve">restore the previous code version (</w:t>
      </w:r>
      <w:r>
        <w:rPr>
          <w:rStyle w:val="VerbatimChar"/>
        </w:rPr>
        <w:t xml:space="preserve">git checkout &lt;previous tag&gt;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uv sync --frozen</w:t>
      </w:r>
      <w:r>
        <w:t xml:space="preserve">) and, if a migration ran, the pre-release backup.</w:t>
      </w:r>
    </w:p>
    <w:bookmarkEnd w:id="26"/>
    <w:bookmarkEnd w:id="27"/>
    <w:bookmarkStart w:id="28" w:name="support-model"/>
    <w:p>
      <w:pPr>
        <w:pStyle w:val="Heading1"/>
      </w:pPr>
      <w:r>
        <w:t xml:space="preserve">5. Support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5"/>
        <w:gridCol w:w="1863"/>
        <w:gridCol w:w="2620"/>
        <w:gridCol w:w="2620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Level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Handles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Target response (</w:t>
            </w:r>
            <w:r>
              <w:rPr>
                <w:iCs/>
                <w:b/>
                <w:i/>
                <w:color w:val="FFFFFF"/>
              </w:rPr>
              <w:t xml:space="preserve">provisional, GPHA to agree</w:t>
            </w:r>
            <w:r>
              <w:rPr>
                <w:b/>
                <w:color w:val="FFFFFF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users and the 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How-to questions, forgotten password, account unlock, access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working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Configuration, data corrections through the screens, report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working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/ maintainer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Defects, errors, performance,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4 h; High: 1 working day; others: next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GPHA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down, database, network, certificate,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GPHA IT service levels</w:t>
            </w:r>
          </w:p>
        </w:tc>
      </w:tr>
    </w:tbl>
    <w:p>
      <w:pPr>
        <w:pStyle w:val="BodyText"/>
      </w:pPr>
      <w:r>
        <w:rPr>
          <w:bCs/>
          <w:b/>
        </w:rPr>
        <w:t xml:space="preserve">Severity definitions (for incidents)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4"/>
        <w:gridCol w:w="4192"/>
        <w:gridCol w:w="2702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Severity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Definition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unavailable for all users, data loss, or a security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down; data exposed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key workflow blocked for many users with no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issue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function impaired, workaround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fails for one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Cosmetic or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wording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Reporting a problem:</w:t>
      </w:r>
      <w:r>
        <w:t xml:space="preserve"> </w:t>
      </w:r>
      <w:r>
        <w:t xml:space="preserve">users send the screen name, what they did, what they expected, what happened, the time, and a screenshot (with no confidential content) to the support contact named by GPHA.</w:t>
      </w:r>
    </w:p>
    <w:bookmarkEnd w:id="28"/>
    <w:bookmarkStart w:id="29" w:name="data-governance"/>
    <w:p>
      <w:pPr>
        <w:pStyle w:val="Heading1"/>
      </w:pPr>
      <w:r>
        <w:t xml:space="preserve">6. Data governance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6"/>
        <w:gridCol w:w="3426"/>
        <w:gridCol w:w="3426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Rule in GIAW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GPHA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printed on every Word document footer (configurable); assets carry a data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scheme (D7)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 privilege by job role; auditees see only assigned audits and published issues; port 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access review (§7)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Names, e-mails and job roles of staff and auditees; audit evidence may contain 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to confirm the position under Ghana’s Data Protection Act, 2012 (Act 843)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Keep closed audit files for (years)</w:t>
            </w:r>
            <w:r>
              <w:t xml:space="preserve">”</w:t>
            </w:r>
            <w:r>
              <w:t xml:space="preserve"> </w:t>
            </w:r>
            <w:r>
              <w:t xml:space="preserve">setting; records are never hard-deleted once progressed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the schedule (D8) and the disposal procedure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audit trail; e-signatures; SHA-256 file hashes; versions frozen on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and backups encrypted at rest; HTTPS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</w:t>
            </w:r>
            <w:r>
              <w:t xml:space="preserve"> </w:t>
            </w:r>
            <w:r>
              <w:rPr>
                <w:rStyle w:val="VerbatimChar"/>
              </w:rPr>
              <w:t xml:space="preserve">GPHA_ENCRYPTION_KEY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by default; if enabled, personal data is redacted and requests are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use cases (D11)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Excel, CSV and Word exports follow the user’s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handle exports under GPHA information-handling rules</w:t>
            </w:r>
          </w:p>
        </w:tc>
      </w:tr>
    </w:tbl>
    <w:bookmarkEnd w:id="29"/>
    <w:bookmarkStart w:id="30" w:name="routine-operations-calendar"/>
    <w:p>
      <w:pPr>
        <w:pStyle w:val="Heading1"/>
      </w:pPr>
      <w:r>
        <w:t xml:space="preserve">7. Routine operations calendar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1"/>
        <w:gridCol w:w="5241"/>
        <w:gridCol w:w="1397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Frequency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that the newest backup exists; copy backups and uploads off-server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the notifications backlog and overdue actions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Windows and MySQL patches (after staging); review Activity logs for unusual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review (export users, confirm with managers, deactivate leavers);</w:t>
            </w:r>
            <w:r>
              <w:t xml:space="preserve"> </w:t>
            </w:r>
            <w:r>
              <w:rPr>
                <w:rStyle w:val="VerbatimChar"/>
              </w:rPr>
              <w:t xml:space="preserve">verify_backup</w:t>
            </w:r>
            <w:r>
              <w:t xml:space="preserve"> </w:t>
            </w:r>
            <w:r>
              <w:t xml:space="preserve">restore test; dependency check (</w:t>
            </w:r>
            <w:r>
              <w:rPr>
                <w:rStyle w:val="VerbatimChar"/>
              </w:rPr>
              <w:t xml:space="preserve">pip-audit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configuration against approved methodology; review this manual; disaster-recovery exercise; refresher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</w:tr>
    </w:tbl>
    <w:bookmarkEnd w:id="30"/>
    <w:bookmarkStart w:id="31" w:name="X6f53d56edaacb75113053ef4ffeacbed3d2ec77"/>
    <w:p>
      <w:pPr>
        <w:pStyle w:val="Heading1"/>
      </w:pPr>
      <w:r>
        <w:t xml:space="preserve">8. Business continuity and disaster recovery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78"/>
        <w:gridCol w:w="5241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NSSM restarts the service automatically; check the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see a red banner and nothing is saved; the app recovers and migrates automatically when the database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new server (Administration Guide §2.2); restore the newest encrypted backup and</w:t>
            </w:r>
            <w:r>
              <w:t xml:space="preserve"> </w:t>
            </w:r>
            <w:r>
              <w:rPr>
                <w:rStyle w:val="VerbatimChar"/>
              </w:rPr>
              <w:t xml:space="preserve">uploads\</w:t>
            </w:r>
            <w:r>
              <w:t xml:space="preserve">; restore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and the encryption key from secure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Ransomware / 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 the server; follow GPHA incident procedure; restore from an off-server backup taken before the incident; rotate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staff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two Super Administrators; documented procedures (this pack)</w:t>
            </w:r>
          </w:p>
        </w:tc>
      </w:tr>
    </w:tbl>
    <w:p>
      <w:pPr>
        <w:pStyle w:val="BodyText"/>
      </w:pPr>
      <w:r>
        <w:t xml:space="preserve">Recovery objectives (RPO and RTO) are</w:t>
      </w:r>
      <w:r>
        <w:t xml:space="preserve"> </w:t>
      </w:r>
      <w:r>
        <w:rPr>
          <w:bCs/>
          <w:b/>
        </w:rPr>
        <w:t xml:space="preserve">GPHA to decide</w:t>
      </w:r>
      <w:r>
        <w:t xml:space="preserve"> </w:t>
      </w:r>
      <w:r>
        <w:t xml:space="preserve">(D9). With daily backups the default RPO is up to 24 hours.</w:t>
      </w:r>
    </w:p>
    <w:bookmarkEnd w:id="31"/>
    <w:bookmarkStart w:id="35" w:name="user-acceptance-testing-uat-and-go-live"/>
    <w:p>
      <w:pPr>
        <w:pStyle w:val="Heading1"/>
      </w:pPr>
      <w:r>
        <w:t xml:space="preserve">9. User acceptance testing (UAT) and go-live</w:t>
      </w:r>
    </w:p>
    <w:bookmarkStart w:id="32" w:name="uat-approach"/>
    <w:p>
      <w:pPr>
        <w:pStyle w:val="Heading2"/>
      </w:pPr>
      <w:r>
        <w:t xml:space="preserve">9.1 UAT approach</w:t>
      </w:r>
    </w:p>
    <w:p>
      <w:pPr>
        <w:numPr>
          <w:ilvl w:val="0"/>
          <w:numId w:val="1005"/>
        </w:numPr>
        <w:pStyle w:val="Compact"/>
      </w:pPr>
      <w:r>
        <w:t xml:space="preserve">Run one real engagement end to end in a pilot (recommended: one HQ or Tema audit), with 3 to 5 auditors and one auditee unit.</w:t>
      </w:r>
    </w:p>
    <w:p>
      <w:pPr>
        <w:numPr>
          <w:ilvl w:val="0"/>
          <w:numId w:val="1005"/>
        </w:numPr>
        <w:pStyle w:val="Compact"/>
      </w:pPr>
      <w:r>
        <w:t xml:space="preserve">Use the scenarios in the Training Guide (06) as test scripts.</w:t>
      </w:r>
    </w:p>
    <w:p>
      <w:pPr>
        <w:numPr>
          <w:ilvl w:val="0"/>
          <w:numId w:val="1005"/>
        </w:numPr>
        <w:pStyle w:val="Compact"/>
      </w:pPr>
      <w:r>
        <w:t xml:space="preserve">Log every issue with its severity. Critical and High issues must be fixed before go-live.</w:t>
      </w:r>
    </w:p>
    <w:bookmarkEnd w:id="32"/>
    <w:bookmarkStart w:id="33" w:name="uat-sign-off-form-template"/>
    <w:p>
      <w:pPr>
        <w:pStyle w:val="Heading2"/>
      </w:pPr>
      <w:r>
        <w:t xml:space="preserve">9.2 UAT sign-off form (template)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27"/>
        <w:gridCol w:w="3792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tested (apps, roles, scenarios)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period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issues (number by severity)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· High: · Medium: · Low: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 with conditions?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No: conditions: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 (system owner) /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 (GM Audit) / 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go-live-checklist"/>
    <w:p>
      <w:pPr>
        <w:pStyle w:val="Heading2"/>
      </w:pPr>
      <w:r>
        <w:t xml:space="preserve">9.3 Go-live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0"/>
        <w:gridCol w:w="5319"/>
        <w:gridCol w:w="1300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 D1 to D16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server built; HTTPS working; readiness check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restore proven (</w:t>
            </w:r>
            <w:r>
              <w:rPr>
                <w:rStyle w:val="VerbatimChar"/>
              </w:rPr>
              <w:t xml:space="preserve">verify_backup</w:t>
            </w:r>
            <w:r>
              <w:t xml:space="preserve"> </w:t>
            </w:r>
            <w:r>
              <w:t xml:space="preserve">output filed)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key and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stored securely, separately from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two Super Administrators; bootstrap password 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data loaded (org structure, processes, universe, current plan, open findings)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created with correct job roles and workplaces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reviewed and approved by the GM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delivered to every role; quick guides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contacts announced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Two-step verification enforced for the agreed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security review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signed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34"/>
    <w:bookmarkEnd w:id="35"/>
    <w:bookmarkStart w:id="36" w:name="documentation-set"/>
    <w:p>
      <w:pPr>
        <w:pStyle w:val="Heading1"/>
      </w:pPr>
      <w:r>
        <w:t xml:space="preserve">10. Documentation set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2945"/>
        <w:gridCol w:w="720"/>
        <w:gridCol w:w="1570"/>
        <w:gridCol w:w="785"/>
        <w:gridCol w:w="1178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No.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Format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Audience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/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/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Developers, IT,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/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major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/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Administrators,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Administration &amp; Operations Manual (this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/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Sponsor, owner,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Manual (illustrated)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/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 / 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Trainers,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and test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Owner,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test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mainBLUEPRINT.md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giaw-fastAPI.md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change</w:t>
            </w:r>
          </w:p>
        </w:tc>
      </w:tr>
    </w:tbl>
    <w:bookmarkEnd w:id="36"/>
    <w:sectPr>
      <w:footerReference r:id="rId9" w:type="default"/>
      <w:pgMar w:bottom="1020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44054"/>
        <w:sz w:val="16"/>
      </w:rPr>
      <w:t xml:space="preserve">GPHA Internal Audit Workspace (GIAW) · INTERNAL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344054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34405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34405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344054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2A4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E60AE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eastAsia="Calibri" w:hAnsi="Calibri"/>
      <w:color w:val="344054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cs="Calibri" w:eastAsia="Calibri" w:hAnsi="Calibri"/>
      <w:color w:val="344054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cs="Calibri" w:eastAsia="Calibri" w:hAnsi="Calibri"/>
      <w:b/>
      <w:bCs/>
      <w:color w:val="1E60A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Calibri" w:cs="Calibri" w:eastAsia="Calibri" w:hAnsi="Calibri"/>
      <w:b/>
      <w:bCs/>
      <w:color w:val="0F2A4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1E60AE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cs="Calibri" w:eastAsia="Calibri" w:hAnsi="Calibri"/>
      <w:i/>
      <w:b/>
      <w:bCs/>
      <w:color w:val="0F2A4A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3CAD6" w:space="0" w:sz="4" w:val="single"/>
        <w:left w:color="C3CAD6" w:space="0" w:sz="4" w:val="single"/>
        <w:bottom w:color="C3CAD6" w:space="0" w:sz="4" w:val="single"/>
        <w:right w:color="C3CAD6" w:space="0" w:sz="4" w:val="single"/>
        <w:insideH w:color="C3CAD6" w:space="0" w:sz="4" w:val="single"/>
        <w:insideV w:color="C3CAD6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FFFFFF"/>
      </w:rPr>
      <w:tcPr>
        <w:shd w:color="auto" w:fill="1E60AE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color w:val="344054"/>
      <w:sz w:val="21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344054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2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1E60AE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GIAW — Governance, Administration and Operations Manual</dc:title>
  <dc:creator>GPHA Internal Audit Department</dc:creator>
  <cp:keywords/>
  <dcterms:created xsi:type="dcterms:W3CDTF">2026-10-16T01:59:53Z</dcterms:created>
  <dcterms:modified xsi:type="dcterms:W3CDTF">2026-10-16T01:59:53Z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16 October 2026</vt:lpwstr>
  </property>
  <property fmtid="{D5CDD505-2E9C-101B-9397-08002B2CF9AE}" pid="3" name="subtitle">
    <vt:lpwstr>Ownership, decisions, change control, support, data governance, go-live and continuity</vt:lpwstr>
  </property>
</Properties>
</file>