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5000" w:type="pct"/>
        <w:jc w:val="left"/>
        <w:tblCellMar>
          <w:top w:w="0" w:type="dxa"/>
          <w:left w:w="0" w:type="dxa"/>
          <w:bottom w:w="0" w:type="dxa"/>
          <w:right w:w="0" w:type="dxa"/>
        </w:tblCellMar>
      </w:tblPr>
      <w:tblGrid>
        <w:gridCol w:w="2916"/>
        <w:gridCol w:w="5724"/>
      </w:tblGrid>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CHÍNH PHỦ</w:t>
            </w:r>
            <w:r>
              <w:rPr>
                <w:b/>
                <w:bCs/>
                <w:rtl w:val="0"/>
              </w:rPr>
              <w:br/>
            </w:r>
            <w:r>
              <w:rPr>
                <w:b/>
                <w:bCs/>
                <w:rtl w:val="0"/>
              </w:rPr>
              <w:t>-------</w:t>
            </w:r>
          </w:p>
        </w:tc>
        <w:tc>
          <w:tcPr>
            <w:tcW w:w="550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b/>
                <w:bCs/>
                <w:rtl w:val="0"/>
              </w:rPr>
              <w:t>CỘNG HÒA XÃ HỘI CHỦ NGHĨA VIỆT NAM</w:t>
            </w:r>
            <w:r>
              <w:rPr>
                <w:b/>
                <w:bCs/>
                <w:rtl w:val="0"/>
              </w:rPr>
              <w:br/>
            </w:r>
            <w:r>
              <w:rPr>
                <w:b/>
                <w:bCs/>
                <w:rtl w:val="0"/>
              </w:rPr>
              <w:t xml:space="preserve">Độc lập - Tự do - Hạnh phúc </w:t>
            </w:r>
            <w:r>
              <w:rPr>
                <w:b/>
                <w:bCs/>
                <w:rtl w:val="0"/>
              </w:rPr>
              <w:br/>
            </w:r>
            <w:r>
              <w:rPr>
                <w:b/>
                <w:bCs/>
                <w:rtl w:val="0"/>
              </w:rPr>
              <w:t>---------------</w:t>
            </w:r>
          </w:p>
        </w:tc>
      </w:tr>
      <w:tr>
        <w:tblPrEx>
          <w:tblW w:w="5000" w:type="pct"/>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before="120" w:beforeAutospacing="0" w:after="0" w:afterAutospacing="0"/>
              <w:jc w:val="center"/>
              <w:rPr>
                <w:rtl w:val="0"/>
              </w:rPr>
            </w:pPr>
            <w:r>
              <w:rPr>
                <w:rtl w:val="0"/>
              </w:rPr>
              <w:t>Số: 181/2025/NĐ-CP</w:t>
            </w:r>
          </w:p>
        </w:tc>
        <w:tc>
          <w:tcPr>
            <w:tcW w:w="5508" w:type="dxa"/>
            <w:shd w:val="clear" w:color="auto" w:fill="auto"/>
            <w:tcMar>
              <w:top w:w="0" w:type="dxa"/>
              <w:left w:w="108" w:type="dxa"/>
              <w:bottom w:w="0" w:type="dxa"/>
              <w:right w:w="108" w:type="dxa"/>
            </w:tcMar>
          </w:tcPr>
          <w:p>
            <w:pPr>
              <w:bidi w:val="0"/>
              <w:spacing w:before="120" w:beforeAutospacing="0" w:after="0" w:afterAutospacing="0"/>
              <w:jc w:val="right"/>
              <w:rPr>
                <w:rtl w:val="0"/>
              </w:rPr>
            </w:pPr>
            <w:r>
              <w:rPr>
                <w:i/>
                <w:iCs/>
                <w:rtl w:val="0"/>
              </w:rPr>
              <w:t xml:space="preserve">Hà Nội, ngày 01 tháng 7 năm 2025 </w:t>
            </w:r>
          </w:p>
        </w:tc>
      </w:tr>
    </w:tbl>
    <w:p>
      <w:pPr>
        <w:bidi w:val="0"/>
        <w:spacing w:before="120" w:beforeAutospacing="0" w:after="280" w:afterAutospacing="1"/>
      </w:pPr>
      <w:r>
        <w:rPr>
          <w:rtl w:val="0"/>
        </w:rPr>
        <w:t> </w:t>
      </w:r>
    </w:p>
    <w:p>
      <w:pPr>
        <w:bidi w:val="0"/>
        <w:spacing w:before="120" w:beforeAutospacing="0" w:after="280" w:afterAutospacing="1"/>
        <w:jc w:val="center"/>
      </w:pPr>
      <w:bookmarkStart w:id="0" w:name="loai_1"/>
      <w:r>
        <w:rPr>
          <w:b/>
          <w:bCs/>
          <w:sz w:val="24"/>
          <w:rtl w:val="0"/>
        </w:rPr>
        <w:t>NGHỊ ĐỊNH</w:t>
      </w:r>
      <w:bookmarkEnd w:id="0"/>
    </w:p>
    <w:p>
      <w:pPr>
        <w:bidi w:val="0"/>
        <w:spacing w:before="120" w:beforeAutospacing="0" w:after="280" w:afterAutospacing="1"/>
        <w:jc w:val="center"/>
      </w:pPr>
      <w:bookmarkStart w:id="1" w:name="loai_1_name"/>
      <w:r>
        <w:rPr>
          <w:rtl w:val="0"/>
        </w:rPr>
        <w:t>QUY ĐỊNH CHI TIẾT THI HÀNH MỘT SỐ ĐIỀU CỦA LUẬT THUẾ GIÁ TRỊ GIA TĂNG</w:t>
      </w:r>
      <w:bookmarkEnd w:id="1"/>
    </w:p>
    <w:p>
      <w:pPr>
        <w:bidi w:val="0"/>
        <w:spacing w:before="120" w:beforeAutospacing="0" w:after="280" w:afterAutospacing="1"/>
      </w:pPr>
      <w:r>
        <w:rPr>
          <w:i/>
          <w:iCs/>
          <w:rtl w:val="0"/>
        </w:rPr>
        <w:t xml:space="preserve">Căn cứ </w:t>
      </w:r>
      <w:bookmarkStart w:id="2" w:name="tvpllink_oztzitmbya"/>
      <w:r>
        <w:rPr>
          <w:i/>
          <w:iCs/>
          <w:rtl w:val="0"/>
        </w:rPr>
        <w:t>Luật Tổ chức Chính phủ</w:t>
      </w:r>
      <w:bookmarkEnd w:id="2"/>
      <w:r>
        <w:rPr>
          <w:i/>
          <w:iCs/>
          <w:rtl w:val="0"/>
        </w:rPr>
        <w:t xml:space="preserve"> ngày 18 tháng 02 năm 2025;</w:t>
      </w:r>
    </w:p>
    <w:p>
      <w:pPr>
        <w:bidi w:val="0"/>
        <w:spacing w:before="120" w:beforeAutospacing="0" w:after="280" w:afterAutospacing="1"/>
      </w:pPr>
      <w:r>
        <w:rPr>
          <w:i/>
          <w:iCs/>
          <w:rtl w:val="0"/>
        </w:rPr>
        <w:t xml:space="preserve">Căn cứ </w:t>
      </w:r>
      <w:bookmarkStart w:id="3" w:name="tvpllink_cfonnkiqjn"/>
      <w:r>
        <w:rPr>
          <w:i/>
          <w:iCs/>
          <w:rtl w:val="0"/>
        </w:rPr>
        <w:t>Luật Thuế giá trị gia tăng</w:t>
      </w:r>
      <w:bookmarkEnd w:id="3"/>
      <w:r>
        <w:rPr>
          <w:i/>
          <w:iCs/>
          <w:rtl w:val="0"/>
        </w:rPr>
        <w:t xml:space="preserve"> ngày 26 tháng 11 năm 2024;</w:t>
      </w:r>
    </w:p>
    <w:p>
      <w:pPr>
        <w:bidi w:val="0"/>
        <w:spacing w:before="120" w:beforeAutospacing="0" w:after="280" w:afterAutospacing="1"/>
      </w:pPr>
      <w:r>
        <w:rPr>
          <w:i/>
          <w:iCs/>
          <w:rtl w:val="0"/>
        </w:rPr>
        <w:t xml:space="preserve">Căn cứ </w:t>
      </w:r>
      <w:bookmarkStart w:id="4" w:name="tvpllink_hbwjisyjfg"/>
      <w:r>
        <w:rPr>
          <w:i/>
          <w:iCs/>
          <w:rtl w:val="0"/>
        </w:rPr>
        <w:t>Luật sửa đổi, bổ sung một số điều của Luật Đấu thầu, Luật Đầu tư theo phương thức đối tác công tư, Luật Hải quan, Luật Thuế giá trị gia tăng, Luật Thuế xuất khẩu, thuế nhập khẩu, Luật Đầu tư, Luật Đầu tư công, Luật Quản lý, sử dụng tài sản công</w:t>
      </w:r>
      <w:bookmarkEnd w:id="4"/>
      <w:r>
        <w:rPr>
          <w:i/>
          <w:iCs/>
          <w:rtl w:val="0"/>
        </w:rPr>
        <w:t xml:space="preserve"> ngày 25 tháng 6 năm 2025;</w:t>
      </w:r>
    </w:p>
    <w:p>
      <w:pPr>
        <w:bidi w:val="0"/>
        <w:spacing w:before="120" w:beforeAutospacing="0" w:after="280" w:afterAutospacing="1"/>
      </w:pPr>
      <w:r>
        <w:rPr>
          <w:i/>
          <w:iCs/>
          <w:rtl w:val="0"/>
        </w:rPr>
        <w:t>Theo đề nghị của Bộ trưởng Bộ Tài chính;</w:t>
      </w:r>
    </w:p>
    <w:p>
      <w:pPr>
        <w:bidi w:val="0"/>
        <w:spacing w:before="120" w:beforeAutospacing="0" w:after="280" w:afterAutospacing="1"/>
      </w:pPr>
      <w:r>
        <w:rPr>
          <w:i/>
          <w:iCs/>
          <w:rtl w:val="0"/>
        </w:rPr>
        <w:t xml:space="preserve">Chính phủ ban hành Nghị định quy định chi tiết thi hành một số điều của </w:t>
      </w:r>
      <w:bookmarkStart w:id="5" w:name="tvpllink_cfonnkiqjn_3"/>
      <w:r>
        <w:rPr>
          <w:i/>
          <w:iCs/>
          <w:rtl w:val="0"/>
        </w:rPr>
        <w:t>Luật Thuế giá trị gia tăng</w:t>
      </w:r>
      <w:bookmarkEnd w:id="5"/>
      <w:r>
        <w:rPr>
          <w:i/>
          <w:iCs/>
          <w:rtl w:val="0"/>
        </w:rPr>
        <w:t>.</w:t>
      </w:r>
    </w:p>
    <w:p>
      <w:pPr>
        <w:bidi w:val="0"/>
        <w:spacing w:before="120" w:beforeAutospacing="0" w:after="280" w:afterAutospacing="1"/>
      </w:pPr>
      <w:bookmarkStart w:id="6" w:name="chuong_1"/>
      <w:r>
        <w:rPr>
          <w:b/>
          <w:bCs/>
          <w:rtl w:val="0"/>
        </w:rPr>
        <w:t>Chương I</w:t>
      </w:r>
      <w:bookmarkEnd w:id="6"/>
    </w:p>
    <w:p>
      <w:pPr>
        <w:bidi w:val="0"/>
        <w:spacing w:before="120" w:beforeAutospacing="0" w:after="280" w:afterAutospacing="1"/>
        <w:jc w:val="center"/>
      </w:pPr>
      <w:bookmarkStart w:id="7" w:name="chuong_1_name"/>
      <w:r>
        <w:rPr>
          <w:b/>
          <w:bCs/>
          <w:sz w:val="24"/>
          <w:rtl w:val="0"/>
        </w:rPr>
        <w:t>NHỮNG QUY ĐỊNH CHUNG</w:t>
      </w:r>
      <w:bookmarkEnd w:id="7"/>
    </w:p>
    <w:p>
      <w:pPr>
        <w:bidi w:val="0"/>
        <w:spacing w:before="120" w:beforeAutospacing="0" w:after="280" w:afterAutospacing="1"/>
      </w:pPr>
      <w:bookmarkStart w:id="8" w:name="dieu_1_1"/>
      <w:r>
        <w:rPr>
          <w:b/>
          <w:bCs/>
          <w:rtl w:val="0"/>
        </w:rPr>
        <w:t>Điều 1. Phạm vi điều chỉnh</w:t>
      </w:r>
      <w:bookmarkEnd w:id="8"/>
    </w:p>
    <w:p>
      <w:pPr>
        <w:bidi w:val="0"/>
        <w:spacing w:before="120" w:beforeAutospacing="0" w:after="280" w:afterAutospacing="1"/>
      </w:pPr>
      <w:r>
        <w:rPr>
          <w:rtl w:val="0"/>
        </w:rPr>
        <w:t xml:space="preserve">Nghị định này quy định chi tiết về người nộp thuế tại </w:t>
      </w:r>
      <w:bookmarkStart w:id="9" w:name="dc_1"/>
      <w:r>
        <w:rPr>
          <w:rtl w:val="0"/>
        </w:rPr>
        <w:t>khoản 1, 4 và khoản 5 Điều 4</w:t>
      </w:r>
      <w:bookmarkEnd w:id="9"/>
      <w:r>
        <w:rPr>
          <w:rtl w:val="0"/>
        </w:rPr>
        <w:t xml:space="preserve"> và người nộp thuế trong trường hợp nhà cung cấp nước ngoài cung cấp dịch vụ cho người mua là tổ chức kinh doanh tại Việt Nam áp dụng phương pháp khấu trừ thuế quy định tại </w:t>
      </w:r>
      <w:bookmarkStart w:id="10" w:name="dc_2"/>
      <w:r>
        <w:rPr>
          <w:rtl w:val="0"/>
        </w:rPr>
        <w:t>khoản 4 Điều 4</w:t>
      </w:r>
      <w:bookmarkEnd w:id="10"/>
      <w:r>
        <w:rPr>
          <w:rtl w:val="0"/>
        </w:rPr>
        <w:t xml:space="preserve">, đối tượng không chịu thuế tại </w:t>
      </w:r>
      <w:bookmarkStart w:id="11" w:name="dc_3"/>
      <w:r>
        <w:rPr>
          <w:rtl w:val="0"/>
        </w:rPr>
        <w:t>Điều 5</w:t>
      </w:r>
      <w:bookmarkEnd w:id="11"/>
      <w:r>
        <w:rPr>
          <w:rtl w:val="0"/>
        </w:rPr>
        <w:t xml:space="preserve">, giá tính thuế tại </w:t>
      </w:r>
      <w:bookmarkStart w:id="12" w:name="dc_4"/>
      <w:r>
        <w:rPr>
          <w:rtl w:val="0"/>
        </w:rPr>
        <w:t>Điều 7</w:t>
      </w:r>
      <w:bookmarkEnd w:id="12"/>
      <w:r>
        <w:rPr>
          <w:rtl w:val="0"/>
        </w:rPr>
        <w:t xml:space="preserve">, thời điểm xác định thuế giá trị gia tăng tại </w:t>
      </w:r>
      <w:bookmarkStart w:id="13" w:name="dc_5"/>
      <w:r>
        <w:rPr>
          <w:rtl w:val="0"/>
        </w:rPr>
        <w:t>khoản 2 Điều 8</w:t>
      </w:r>
      <w:bookmarkEnd w:id="13"/>
      <w:r>
        <w:rPr>
          <w:rtl w:val="0"/>
        </w:rPr>
        <w:t xml:space="preserve">, thuế suất tại </w:t>
      </w:r>
      <w:bookmarkStart w:id="14" w:name="dc_6"/>
      <w:r>
        <w:rPr>
          <w:rtl w:val="0"/>
        </w:rPr>
        <w:t>khoản 1, 2 Điều 9</w:t>
      </w:r>
      <w:bookmarkEnd w:id="14"/>
      <w:r>
        <w:rPr>
          <w:rtl w:val="0"/>
        </w:rPr>
        <w:t xml:space="preserve">, phương pháp khấu trừ thuế tại </w:t>
      </w:r>
      <w:bookmarkStart w:id="15" w:name="dc_7"/>
      <w:r>
        <w:rPr>
          <w:rtl w:val="0"/>
        </w:rPr>
        <w:t>Điều 11</w:t>
      </w:r>
      <w:bookmarkEnd w:id="15"/>
      <w:r>
        <w:rPr>
          <w:rtl w:val="0"/>
        </w:rPr>
        <w:t xml:space="preserve">, phương pháp tính trực tiếp tại </w:t>
      </w:r>
      <w:bookmarkStart w:id="16" w:name="dc_8"/>
      <w:r>
        <w:rPr>
          <w:rtl w:val="0"/>
        </w:rPr>
        <w:t>khoản 1 Điều 12</w:t>
      </w:r>
      <w:bookmarkEnd w:id="16"/>
      <w:r>
        <w:rPr>
          <w:rtl w:val="0"/>
        </w:rPr>
        <w:t xml:space="preserve">, khấu trừ thuế giá trị gia tăng đầu vào tại </w:t>
      </w:r>
      <w:bookmarkStart w:id="17" w:name="dc_9"/>
      <w:r>
        <w:rPr>
          <w:rtl w:val="0"/>
        </w:rPr>
        <w:t>Điều 14</w:t>
      </w:r>
      <w:bookmarkEnd w:id="17"/>
      <w:r>
        <w:rPr>
          <w:rtl w:val="0"/>
        </w:rPr>
        <w:t xml:space="preserve"> và hoàn thuế giá trị gia tăng tại </w:t>
      </w:r>
      <w:bookmarkStart w:id="18" w:name="dc_10"/>
      <w:r>
        <w:rPr>
          <w:rtl w:val="0"/>
        </w:rPr>
        <w:t>Điều 15 của Luật Thuế giá trị gia tăng</w:t>
      </w:r>
      <w:bookmarkEnd w:id="18"/>
      <w:r>
        <w:rPr>
          <w:rtl w:val="0"/>
        </w:rPr>
        <w:t>.</w:t>
      </w:r>
    </w:p>
    <w:p>
      <w:pPr>
        <w:bidi w:val="0"/>
        <w:spacing w:before="120" w:beforeAutospacing="0" w:after="280" w:afterAutospacing="1"/>
      </w:pPr>
      <w:bookmarkStart w:id="19" w:name="dieu_2"/>
      <w:r>
        <w:rPr>
          <w:b/>
          <w:bCs/>
          <w:rtl w:val="0"/>
        </w:rPr>
        <w:t>Điều 2. Đối tượng áp dụng</w:t>
      </w:r>
      <w:bookmarkEnd w:id="19"/>
    </w:p>
    <w:p>
      <w:pPr>
        <w:bidi w:val="0"/>
        <w:spacing w:before="120" w:beforeAutospacing="0" w:after="280" w:afterAutospacing="1"/>
      </w:pPr>
      <w:r>
        <w:rPr>
          <w:rtl w:val="0"/>
        </w:rPr>
        <w:t>Đối tượng áp dụng của Nghị định này bao gồm:</w:t>
      </w:r>
    </w:p>
    <w:p>
      <w:pPr>
        <w:bidi w:val="0"/>
        <w:spacing w:before="120" w:beforeAutospacing="0" w:after="280" w:afterAutospacing="1"/>
      </w:pPr>
      <w:r>
        <w:rPr>
          <w:rtl w:val="0"/>
        </w:rPr>
        <w:t xml:space="preserve">1. Người nộp thuế quy định tại </w:t>
      </w:r>
      <w:bookmarkStart w:id="20" w:name="tc_1"/>
      <w:r>
        <w:rPr>
          <w:rtl w:val="0"/>
        </w:rPr>
        <w:t>Điều 3 Nghị định này</w:t>
      </w:r>
      <w:bookmarkEnd w:id="20"/>
      <w:r>
        <w:rPr>
          <w:rtl w:val="0"/>
        </w:rPr>
        <w:t>.</w:t>
      </w:r>
    </w:p>
    <w:p>
      <w:pPr>
        <w:bidi w:val="0"/>
        <w:spacing w:before="120" w:beforeAutospacing="0" w:after="280" w:afterAutospacing="1"/>
      </w:pPr>
      <w:r>
        <w:rPr>
          <w:rtl w:val="0"/>
        </w:rPr>
        <w:t>2. Cơ quan quản lý thuế theo quy định của pháp luật về quản lý thuế.</w:t>
      </w:r>
    </w:p>
    <w:p>
      <w:pPr>
        <w:bidi w:val="0"/>
        <w:spacing w:before="120" w:beforeAutospacing="0" w:after="280" w:afterAutospacing="1"/>
      </w:pPr>
      <w:r>
        <w:rPr>
          <w:rtl w:val="0"/>
        </w:rPr>
        <w:t>3. Các tổ chức, cá nhân khác có liên quan.</w:t>
      </w:r>
    </w:p>
    <w:p>
      <w:pPr>
        <w:bidi w:val="0"/>
        <w:spacing w:before="120" w:beforeAutospacing="0" w:after="280" w:afterAutospacing="1"/>
      </w:pPr>
      <w:bookmarkStart w:id="21" w:name="dieu_3"/>
      <w:r>
        <w:rPr>
          <w:b/>
          <w:bCs/>
          <w:rtl w:val="0"/>
        </w:rPr>
        <w:t>Điều 3. Người nộp thuế</w:t>
      </w:r>
      <w:bookmarkEnd w:id="21"/>
    </w:p>
    <w:p>
      <w:pPr>
        <w:bidi w:val="0"/>
        <w:spacing w:before="120" w:beforeAutospacing="0" w:after="280" w:afterAutospacing="1"/>
      </w:pPr>
      <w:r>
        <w:rPr>
          <w:rtl w:val="0"/>
        </w:rPr>
        <w:t xml:space="preserve">Người nộp thuế thực hiện theo quy định tại </w:t>
      </w:r>
      <w:bookmarkStart w:id="22" w:name="dc_11"/>
      <w:r>
        <w:rPr>
          <w:rtl w:val="0"/>
        </w:rPr>
        <w:t>Điều 4 Luật Thuế giá trị gia tăng</w:t>
      </w:r>
      <w:bookmarkEnd w:id="22"/>
      <w:r>
        <w:rPr>
          <w:rtl w:val="0"/>
        </w:rPr>
        <w:t>. Một số trường hợp được quy định chi tiết như sau:</w:t>
      </w:r>
    </w:p>
    <w:p>
      <w:pPr>
        <w:bidi w:val="0"/>
        <w:spacing w:before="120" w:beforeAutospacing="0" w:after="280" w:afterAutospacing="1"/>
      </w:pPr>
      <w:bookmarkStart w:id="23" w:name="khoan_1_3"/>
      <w:r>
        <w:rPr>
          <w:rtl w:val="0"/>
        </w:rPr>
        <w:t>1. Người nộp thuế quy định tại</w:t>
      </w:r>
      <w:bookmarkEnd w:id="23"/>
      <w:r>
        <w:rPr>
          <w:rtl w:val="0"/>
        </w:rPr>
        <w:t xml:space="preserve"> </w:t>
      </w:r>
      <w:bookmarkStart w:id="24" w:name="dc_12"/>
      <w:r>
        <w:rPr>
          <w:rtl w:val="0"/>
        </w:rPr>
        <w:t>khoản 1 Điều 4 Luật Thuế giá trị gia tăng</w:t>
      </w:r>
      <w:bookmarkEnd w:id="24"/>
      <w:r>
        <w:rPr>
          <w:rtl w:val="0"/>
        </w:rPr>
        <w:t xml:space="preserve"> </w:t>
      </w:r>
      <w:bookmarkStart w:id="25" w:name="khoan_1_3_name"/>
      <w:r>
        <w:rPr>
          <w:rtl w:val="0"/>
        </w:rPr>
        <w:t>bao gồm:</w:t>
      </w:r>
      <w:bookmarkEnd w:id="25"/>
    </w:p>
    <w:p>
      <w:pPr>
        <w:bidi w:val="0"/>
        <w:spacing w:before="120" w:beforeAutospacing="0" w:after="280" w:afterAutospacing="1"/>
      </w:pPr>
      <w:r>
        <w:rPr>
          <w:rtl w:val="0"/>
        </w:rPr>
        <w:t xml:space="preserve">a) Các tổ chức được thành lập và đăng ký kinh doanh theo </w:t>
      </w:r>
      <w:bookmarkStart w:id="26" w:name="tvpllink_vschxswiyw"/>
      <w:r>
        <w:rPr>
          <w:rtl w:val="0"/>
        </w:rPr>
        <w:t>Luật Doanh nghiệp</w:t>
      </w:r>
      <w:bookmarkEnd w:id="26"/>
      <w:r>
        <w:rPr>
          <w:rtl w:val="0"/>
        </w:rPr>
        <w:t xml:space="preserve">, </w:t>
      </w:r>
      <w:bookmarkStart w:id="27" w:name="tvpllink_vkhttfmgzy"/>
      <w:r>
        <w:rPr>
          <w:rtl w:val="0"/>
        </w:rPr>
        <w:t>Luật Hợp tác xã</w:t>
      </w:r>
      <w:bookmarkEnd w:id="27"/>
      <w:r>
        <w:rPr>
          <w:rtl w:val="0"/>
        </w:rPr>
        <w:t xml:space="preserve"> và pháp luật chuyên ngành khác.</w:t>
      </w:r>
    </w:p>
    <w:p>
      <w:pPr>
        <w:bidi w:val="0"/>
        <w:spacing w:before="120" w:beforeAutospacing="0" w:after="280" w:afterAutospacing="1"/>
      </w:pPr>
      <w:r>
        <w:rPr>
          <w:rtl w:val="0"/>
        </w:rPr>
        <w:t>b) Các tổ chức kinh tế của tổ chức chính trị, tổ chức chính trị - xã hội, tổ chức xã hội, tổ chức xã hội - nghề nghiệp, đơn vị vũ trang nhân dân, tổ chức sự nghiệp và các tổ chức khác.</w:t>
      </w:r>
    </w:p>
    <w:p>
      <w:pPr>
        <w:bidi w:val="0"/>
        <w:spacing w:before="120" w:beforeAutospacing="0" w:after="280" w:afterAutospacing="1"/>
      </w:pPr>
      <w:r>
        <w:rPr>
          <w:rtl w:val="0"/>
        </w:rPr>
        <w:t xml:space="preserve">c) Các doanh nghiệp có vốn đầu tư nước ngoài và bên nước ngoài tham gia hợp tác kinh doanh theo </w:t>
      </w:r>
      <w:bookmarkStart w:id="28" w:name="tvpllink_gwozgqnrqo"/>
      <w:r>
        <w:rPr>
          <w:rtl w:val="0"/>
        </w:rPr>
        <w:t>Luật Đầu tư</w:t>
      </w:r>
      <w:bookmarkEnd w:id="28"/>
      <w:r>
        <w:rPr>
          <w:rtl w:val="0"/>
        </w:rPr>
        <w:t>; các tổ chức, cá nhân nước ngoài hoạt động kinh doanh ở Việt Nam nhưng không thành lập pháp nhân tại Việt Nam.</w:t>
      </w:r>
    </w:p>
    <w:p>
      <w:pPr>
        <w:bidi w:val="0"/>
        <w:spacing w:before="120" w:beforeAutospacing="0" w:after="280" w:afterAutospacing="1"/>
      </w:pPr>
      <w:r>
        <w:rPr>
          <w:rtl w:val="0"/>
        </w:rPr>
        <w:t>d) Doanh nghiệp chế xuất thực hiện các hoạt động kinh doanh khác theo quy định của pháp luật về quản lý khu công nghiệp và khu kinh tế.</w:t>
      </w:r>
    </w:p>
    <w:p>
      <w:pPr>
        <w:bidi w:val="0"/>
        <w:spacing w:before="120" w:beforeAutospacing="0" w:after="280" w:afterAutospacing="1"/>
      </w:pPr>
      <w:r>
        <w:rPr>
          <w:rtl w:val="0"/>
        </w:rPr>
        <w:t>đ) Hộ, cá nhân sản xuất, kinh doanh; nhóm người kinh doanh độc lập.</w:t>
      </w:r>
    </w:p>
    <w:p>
      <w:pPr>
        <w:bidi w:val="0"/>
        <w:spacing w:before="120" w:beforeAutospacing="0" w:after="280" w:afterAutospacing="1"/>
      </w:pPr>
      <w:r>
        <w:rPr>
          <w:rtl w:val="0"/>
        </w:rPr>
        <w:t>e) Tổ chức, cá nhân khác có hoạt động sản xuất, kinh doanh.</w:t>
      </w:r>
    </w:p>
    <w:p>
      <w:pPr>
        <w:bidi w:val="0"/>
        <w:spacing w:before="120" w:beforeAutospacing="0" w:after="280" w:afterAutospacing="1"/>
      </w:pPr>
      <w:r>
        <w:rPr>
          <w:rtl w:val="0"/>
        </w:rPr>
        <w:t xml:space="preserve">2. Người nộp thuế quy định tại </w:t>
      </w:r>
      <w:bookmarkStart w:id="29" w:name="dc_13"/>
      <w:r>
        <w:rPr>
          <w:rtl w:val="0"/>
        </w:rPr>
        <w:t>khoản 4, khoản 5 Điều 4 Luật Thuế giá trị gia tăng</w:t>
      </w:r>
      <w:bookmarkEnd w:id="29"/>
      <w:r>
        <w:rPr>
          <w:rtl w:val="0"/>
        </w:rPr>
        <w:t xml:space="preserve"> gồm:</w:t>
      </w:r>
    </w:p>
    <w:p>
      <w:pPr>
        <w:bidi w:val="0"/>
        <w:spacing w:before="120" w:beforeAutospacing="0" w:after="280" w:afterAutospacing="1"/>
      </w:pPr>
      <w:bookmarkStart w:id="30" w:name="diem_a_2_3"/>
      <w:r>
        <w:rPr>
          <w:rtl w:val="0"/>
        </w:rPr>
        <w:t>a) Nhà cung cấp nước ngoài không có cơ sở thường trú tại Việt Nam có hoạt động kinh doanh thương mại điện tử, kinh doanh dựa trên nền tảng số với tổ chức, cá nhân tại Việt Nam (sau đây gọi là nhà cung cấp nước ngoài); tổ chức là nhà quản lý nền tảng số nước ngoài thực hiện khấu trừ, nộp thay nghĩa vụ thuế phải nộp của nhà cung cấp nước ngoài; tổ chức kinh doanh tại Việt Nam áp dụng phương pháp tính thuế giá trị gia tăng là phương pháp khấu trừ thuế mua dịch vụ của nhà cung cấp nước ngoài không có cơ sở thường trú tại Việt Nam thông qua kênh thương mại điện tử hoặc các nền tảng số thực hiện khấu trừ, nộp thay nghĩa vụ thuế phải nộp của nhà cung cấp nước ngoài. Việc thực hiện khấu trừ, nộp thay nghĩa vụ thuế phải nộp của nhà cung cấp nước ngoài của người nộp thuế quy định tại điểm này thực hiện theo quy định của pháp luật về quản lý thuế.</w:t>
      </w:r>
      <w:bookmarkEnd w:id="30"/>
    </w:p>
    <w:p>
      <w:pPr>
        <w:bidi w:val="0"/>
        <w:spacing w:before="120" w:beforeAutospacing="0" w:after="280" w:afterAutospacing="1"/>
      </w:pPr>
      <w:bookmarkStart w:id="31" w:name="diem_b_2_3"/>
      <w:r>
        <w:rPr>
          <w:rtl w:val="0"/>
        </w:rPr>
        <w:t>b) Người nộp thuế quy định tại</w:t>
      </w:r>
      <w:bookmarkEnd w:id="31"/>
      <w:r>
        <w:rPr>
          <w:rtl w:val="0"/>
        </w:rPr>
        <w:t xml:space="preserve"> </w:t>
      </w:r>
      <w:bookmarkStart w:id="32" w:name="dc_14"/>
      <w:r>
        <w:rPr>
          <w:rtl w:val="0"/>
        </w:rPr>
        <w:t>khoản 5 Điều 4 Luật Thuế giá trị gia tăng</w:t>
      </w:r>
      <w:bookmarkEnd w:id="32"/>
      <w:r>
        <w:rPr>
          <w:rtl w:val="0"/>
        </w:rPr>
        <w:t xml:space="preserve"> </w:t>
      </w:r>
      <w:bookmarkStart w:id="33" w:name="diem_b_2_3_name"/>
      <w:r>
        <w:rPr>
          <w:rtl w:val="0"/>
        </w:rPr>
        <w:t>là tổ chức quản lý sàn giao dịch thương mại điện tử, tổ chức quản lý nền tảng số có chức năng thanh toán thực hiện theo quy định của Nghị định số</w:t>
      </w:r>
      <w:bookmarkEnd w:id="33"/>
      <w:r>
        <w:rPr>
          <w:rtl w:val="0"/>
        </w:rPr>
        <w:t xml:space="preserve"> </w:t>
      </w:r>
      <w:bookmarkStart w:id="34" w:name="tvpllink_urdrtgldbj"/>
      <w:r>
        <w:rPr>
          <w:rtl w:val="0"/>
        </w:rPr>
        <w:t>117/2025/NĐ-CP</w:t>
      </w:r>
      <w:bookmarkEnd w:id="34"/>
      <w:r>
        <w:rPr>
          <w:rtl w:val="0"/>
        </w:rPr>
        <w:t xml:space="preserve"> </w:t>
      </w:r>
      <w:bookmarkStart w:id="35" w:name="diem_b_2_3_name_name"/>
      <w:r>
        <w:rPr>
          <w:rtl w:val="0"/>
        </w:rPr>
        <w:t>ngày 09 tháng 6 năm 2025 của Chính phủ quy định quản lý thuế đối với hoạt động kinh doanh trên nền tảng thương mại điện tử, nền tảng số của hộ, cá nhân.</w:t>
      </w:r>
      <w:bookmarkEnd w:id="35"/>
    </w:p>
    <w:p>
      <w:pPr>
        <w:bidi w:val="0"/>
        <w:spacing w:before="120" w:beforeAutospacing="0" w:after="280" w:afterAutospacing="1"/>
      </w:pPr>
      <w:bookmarkStart w:id="36" w:name="dieu_4"/>
      <w:r>
        <w:rPr>
          <w:b/>
          <w:bCs/>
          <w:rtl w:val="0"/>
        </w:rPr>
        <w:t>Điều 4. Đối tượng không chịu thuế</w:t>
      </w:r>
      <w:bookmarkEnd w:id="36"/>
    </w:p>
    <w:p>
      <w:pPr>
        <w:bidi w:val="0"/>
        <w:spacing w:before="120" w:beforeAutospacing="0" w:after="280" w:afterAutospacing="1"/>
      </w:pPr>
      <w:r>
        <w:rPr>
          <w:rtl w:val="0"/>
        </w:rPr>
        <w:t xml:space="preserve">Đối tượng không chịu thuế thực hiện theo quy định tại </w:t>
      </w:r>
      <w:bookmarkStart w:id="37" w:name="dc_15"/>
      <w:r>
        <w:rPr>
          <w:rtl w:val="0"/>
        </w:rPr>
        <w:t>Điều 5 Luật Thuế giá trị gia tăng</w:t>
      </w:r>
      <w:bookmarkEnd w:id="37"/>
      <w:r>
        <w:rPr>
          <w:rtl w:val="0"/>
        </w:rPr>
        <w:t>. Một số trường hợp được quy định chi tiết như sau:</w:t>
      </w:r>
    </w:p>
    <w:p>
      <w:pPr>
        <w:bidi w:val="0"/>
        <w:spacing w:before="120" w:beforeAutospacing="0" w:after="280" w:afterAutospacing="1"/>
      </w:pPr>
      <w:r>
        <w:rPr>
          <w:rtl w:val="0"/>
        </w:rPr>
        <w:t>1. Sản phẩm cây trồng, rừng trồng, chăn nuôi, thủy sản nuôi trồng, đánh bắt chưa chế biến thành các sản phẩm khác hoặc chỉ qua sơ chế thông thường của tổ chức, cá nhân tự sản xuất, đánh bắt bán ra và ở khâu nhập khẩu. Trong đó, các sản phẩm chỉ qua sơ chế thông thường là các sản phẩm mới được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p>
    <w:p>
      <w:pPr>
        <w:bidi w:val="0"/>
        <w:spacing w:before="120" w:beforeAutospacing="0" w:after="280" w:afterAutospacing="1"/>
      </w:pPr>
      <w:r>
        <w:rPr>
          <w:rtl w:val="0"/>
        </w:rPr>
        <w:t>Trường hợp không xác định được thì Bộ Nông nghiệp và Môi trường có trách nhiệm căn cứ vào quy trình sản xuất sản phẩm cây trồng, rừng trồng, chăn nuôi, thủy sản nuôi trồng, đánh bắt do người nộp thuế cung cấp để xác định là sản phẩm chưa chế biến thành các sản phẩm khác hoặc chỉ qua sơ chế thông thường của tổ chức, cá nhân tự sản xuất, đánh bắt bán ra và ở khâu nhập khẩu theo quy định của pháp luật.</w:t>
      </w:r>
    </w:p>
    <w:p>
      <w:pPr>
        <w:bidi w:val="0"/>
        <w:spacing w:before="120" w:beforeAutospacing="0" w:after="280" w:afterAutospacing="1"/>
      </w:pPr>
      <w:r>
        <w:rPr>
          <w:rtl w:val="0"/>
        </w:rPr>
        <w:t>2. Nhà ở thuộc tài sản công do Nhà nước bán cho người đang thuê. Trong đó, nhà ở thuộc tài sản công theo quy định của pháp luật về nhà ở.</w:t>
      </w:r>
    </w:p>
    <w:p>
      <w:pPr>
        <w:bidi w:val="0"/>
        <w:spacing w:before="120" w:beforeAutospacing="0" w:after="280" w:afterAutospacing="1"/>
      </w:pPr>
      <w:bookmarkStart w:id="38" w:name="khoan_3_4_1"/>
      <w:r>
        <w:rPr>
          <w:rtl w:val="0"/>
        </w:rPr>
        <w:t>3. Chuyển quyền sử dụng đất theo quy định của pháp luật về đất đai.</w:t>
      </w:r>
      <w:bookmarkEnd w:id="38"/>
    </w:p>
    <w:p>
      <w:pPr>
        <w:bidi w:val="0"/>
        <w:spacing w:before="120" w:beforeAutospacing="0" w:after="280" w:afterAutospacing="1"/>
      </w:pPr>
      <w:r>
        <w:rPr>
          <w:rtl w:val="0"/>
        </w:rPr>
        <w:t>4. Các dịch vụ tài chính, ngân hàng, kinh doanh chứng khoán, thương mại sau đây:</w:t>
      </w:r>
    </w:p>
    <w:p>
      <w:pPr>
        <w:bidi w:val="0"/>
        <w:spacing w:before="120" w:beforeAutospacing="0" w:after="280" w:afterAutospacing="1"/>
      </w:pPr>
      <w:r>
        <w:rPr>
          <w:rtl w:val="0"/>
        </w:rPr>
        <w:t>a) Dịch vụ cấp tín dụng theo quy định của pháp luật về các tổ chức tín dụng và các khoản phí được nêu cụ thể tại Hợp đồng vay vốn của Chính phủ Việt Nam với Bên cho vay nước ngoài.</w:t>
      </w:r>
    </w:p>
    <w:p>
      <w:pPr>
        <w:bidi w:val="0"/>
        <w:spacing w:before="120" w:beforeAutospacing="0" w:after="280" w:afterAutospacing="1"/>
      </w:pPr>
      <w:r>
        <w:rPr>
          <w:rtl w:val="0"/>
        </w:rPr>
        <w:t>b) Dịch vụ cho vay của người nộp thuế không phải là tổ chức tín dụng.</w:t>
      </w:r>
    </w:p>
    <w:p>
      <w:pPr>
        <w:bidi w:val="0"/>
        <w:spacing w:before="120" w:beforeAutospacing="0" w:after="280" w:afterAutospacing="1"/>
      </w:pPr>
      <w:bookmarkStart w:id="39" w:name="diem_c_4_4"/>
      <w:r>
        <w:rPr>
          <w:rtl w:val="0"/>
        </w:rPr>
        <w:t>c) Kinh doanh chứng khoán bao gồm môi giới chứng khoán, tự doanh chứng khoán, bảo lãnh phát hành chứng khoán, tư vấn đầu tư chứng khoán, quản lý quỹ đầu tư chứng khoán, quản lý danh mục đầu tư chứng khoán theo quy định của pháp luật về chứng khoán.</w:t>
      </w:r>
      <w:bookmarkEnd w:id="39"/>
    </w:p>
    <w:p>
      <w:pPr>
        <w:bidi w:val="0"/>
        <w:spacing w:before="120" w:beforeAutospacing="0" w:after="280" w:afterAutospacing="1"/>
      </w:pPr>
      <w:bookmarkStart w:id="40" w:name="diem_d_4_4"/>
      <w:r>
        <w:rPr>
          <w:rtl w:val="0"/>
        </w:rPr>
        <w:t>d) Chuyển nhượng vốn bao gồm chuyển nhượng một phần hoặc toàn bộ số vốn đã đầu tư vào tổ chức kinh tế khác (không phân biệt có thành lập hay không thành lập pháp nhân mới), chuyển nhượng chứng khoán, chuyển nhượng quyền góp vốn và các hình thức chuyển nhượng vốn khác theo quy định của pháp luật, kể cả trường hợp bán doanh nghiệp cho doanh nghiệp khác để sản xuất, kinh doanh và doanh nghiệp mua kế thừa toàn bộ quyền và nghĩa vụ của doanh nghiệp bán theo quy định của pháp luật. Chuyển nhượng vốn quy định tại điểm này không bao gồm chuyển nhượng dự án đầu tư, bán tài sản.</w:t>
      </w:r>
      <w:bookmarkEnd w:id="40"/>
    </w:p>
    <w:p>
      <w:pPr>
        <w:bidi w:val="0"/>
        <w:spacing w:before="120" w:beforeAutospacing="0" w:after="280" w:afterAutospacing="1"/>
      </w:pPr>
      <w:bookmarkStart w:id="41" w:name="diem_dd_4_4"/>
      <w:r>
        <w:rPr>
          <w:rtl w:val="0"/>
        </w:rPr>
        <w:t>đ) Bán nợ bao gồm bán khoản phải trả và khoản phải thu, bán chứng chỉ tiền gửi giữa người nộp thuế không phải là tổ chức tín dụng.</w:t>
      </w:r>
      <w:bookmarkEnd w:id="41"/>
    </w:p>
    <w:p>
      <w:pPr>
        <w:bidi w:val="0"/>
        <w:spacing w:before="120" w:beforeAutospacing="0" w:after="280" w:afterAutospacing="1"/>
      </w:pPr>
      <w:r>
        <w:rPr>
          <w:rtl w:val="0"/>
        </w:rPr>
        <w:t>e) Kinh doanh ngoại tệ.</w:t>
      </w:r>
    </w:p>
    <w:p>
      <w:pPr>
        <w:bidi w:val="0"/>
        <w:spacing w:before="120" w:beforeAutospacing="0" w:after="280" w:afterAutospacing="1"/>
      </w:pPr>
      <w:r>
        <w:rPr>
          <w:rtl w:val="0"/>
        </w:rPr>
        <w:t>g) Sản phẩm phái sinh theo quy định của pháp luật về các tổ chức tín dụng, pháp luật về chứng khoán và pháp luật về thương mại, bao gồm: hoán đổi lãi suất; hợp đồng kỳ hạn; hợp đồng tương lai; hợp đồng quyền chọn mua, chọn bán và sản phẩm phái sinh khác.</w:t>
      </w:r>
    </w:p>
    <w:p>
      <w:pPr>
        <w:bidi w:val="0"/>
        <w:spacing w:before="120" w:beforeAutospacing="0" w:after="280" w:afterAutospacing="1"/>
      </w:pPr>
      <w:r>
        <w:rPr>
          <w:rtl w:val="0"/>
        </w:rPr>
        <w:t>h) Bán tài sản bảo đảm của khoản nợ của tổ chức mà Nhà nước sở hữu 100% vốn điều lệ do Chính phủ thành lập có chức năng mua, bán nợ để xử lý nợ xấu của các tổ chức tín dụng Việt Nam.</w:t>
      </w:r>
    </w:p>
    <w:p>
      <w:pPr>
        <w:bidi w:val="0"/>
        <w:spacing w:before="120" w:beforeAutospacing="0" w:after="280" w:afterAutospacing="1"/>
      </w:pPr>
      <w:r>
        <w:rPr>
          <w:rtl w:val="0"/>
        </w:rPr>
        <w:t>Bộ Tài chính quy định chi tiết các dịch vụ kinh doanh chứng khoán và chuyển nhượng chứng khoán quy định tại điểm c và điểm d khoản này.</w:t>
      </w:r>
    </w:p>
    <w:p>
      <w:pPr>
        <w:bidi w:val="0"/>
        <w:spacing w:before="120" w:beforeAutospacing="0" w:after="280" w:afterAutospacing="1"/>
      </w:pPr>
      <w:r>
        <w:rPr>
          <w:rtl w:val="0"/>
        </w:rPr>
        <w:t>5. Dịch vụ tang lễ bao gồm dịch vụ cho thuê nhà tang lễ, xe ô tô phục vụ tang lễ, táng người chết dưới các hình thức, di chuyển mộ, chăm sóc mộ và phải do các cơ sở có chức năng kinh doanh dịch vụ tang lễ cung cấp.</w:t>
      </w:r>
    </w:p>
    <w:p>
      <w:pPr>
        <w:bidi w:val="0"/>
        <w:spacing w:before="120" w:beforeAutospacing="0" w:after="280" w:afterAutospacing="1"/>
      </w:pPr>
      <w:r>
        <w:rPr>
          <w:rtl w:val="0"/>
        </w:rPr>
        <w:t>6. Hoạt động duy tu, sửa chữa, xây dựng bằng nguồn vốn đóng góp của nhân dân, vốn viện trợ nhân đạo (chiếm từ 50% tổng số vốn sử dụng cho công trình trở lên; trường hợp nguồn vốn đóng góp của nhân dân, vốn viện trợ nhân đạo chiếm dưới 50% tổng số nguồn vốn sử dụng cho công trình thì toàn bộ giá trị công trình thuộc đối tượng chịu thuế giá trị gia tăng) đối với các di tích lịch sử - văn hóa, danh lam thắng cảnh, các công trình văn hóa, nghệ thuật, công trình phục vụ công cộng, cơ sở hạ tầng và nhà ở cho đối tượng chính sách xã hội. Trong đó:</w:t>
      </w:r>
    </w:p>
    <w:p>
      <w:pPr>
        <w:bidi w:val="0"/>
        <w:spacing w:before="120" w:beforeAutospacing="0" w:after="280" w:afterAutospacing="1"/>
      </w:pPr>
      <w:r>
        <w:rPr>
          <w:rtl w:val="0"/>
        </w:rPr>
        <w:t>a) Nguồn vốn đóng góp của nhân dân bao gồm cả vốn đóng góp, tài trợ của tổ chức, cá nhân.</w:t>
      </w:r>
    </w:p>
    <w:p>
      <w:pPr>
        <w:bidi w:val="0"/>
        <w:spacing w:before="120" w:beforeAutospacing="0" w:after="280" w:afterAutospacing="1"/>
      </w:pPr>
      <w:r>
        <w:rPr>
          <w:rtl w:val="0"/>
        </w:rPr>
        <w:t>b) Di tích lịch sử - văn hóa, danh lam thắng cảnh quy định tại khoản này thực hiện theo quy định của pháp luật về di sản văn hóa.</w:t>
      </w:r>
    </w:p>
    <w:p>
      <w:pPr>
        <w:bidi w:val="0"/>
        <w:spacing w:before="120" w:beforeAutospacing="0" w:after="280" w:afterAutospacing="1"/>
      </w:pPr>
      <w:r>
        <w:rPr>
          <w:rtl w:val="0"/>
        </w:rPr>
        <w:t xml:space="preserve">c) Công trình phục vụ công cộng, cơ sở hạ tầng là công trình không phục vụ mục đích kinh doanh, không thu tiền. Công trình quy định tại điểm này được thực hiện theo quy định tại </w:t>
      </w:r>
      <w:bookmarkStart w:id="42" w:name="dc_16"/>
      <w:r>
        <w:rPr>
          <w:rtl w:val="0"/>
        </w:rPr>
        <w:t>điểm 2 Mục I và Mục III Phụ lục I ban hành kèm theo Nghị định số 06/2021/NĐ-CP</w:t>
      </w:r>
      <w:bookmarkEnd w:id="42"/>
      <w:r>
        <w:rPr>
          <w:rtl w:val="0"/>
        </w:rPr>
        <w:t xml:space="preserve"> ngày 26 tháng 01 năm 2021 của Chính phủ quy định chi tiết về quản lý chất lượng, thi công xây dựng và bảo trì công trình xây dựng.</w:t>
      </w:r>
    </w:p>
    <w:p>
      <w:pPr>
        <w:bidi w:val="0"/>
        <w:spacing w:before="120" w:beforeAutospacing="0" w:after="280" w:afterAutospacing="1"/>
      </w:pPr>
      <w:r>
        <w:rPr>
          <w:rtl w:val="0"/>
        </w:rPr>
        <w:t>d) Đối tượng chính sách xã hội quy định tại khoản này bao gồm: người có công theo quy định của pháp luật về người có công; đối tượng bảo trợ xã hội hưởng trợ cấp từ ngân sách nhà nước; người thuộc hộ nghèo, cận nghèo và các trường hợp khác theo quy định của pháp luật.</w:t>
      </w:r>
    </w:p>
    <w:p>
      <w:pPr>
        <w:bidi w:val="0"/>
        <w:spacing w:before="120" w:beforeAutospacing="0" w:after="280" w:afterAutospacing="1"/>
      </w:pPr>
      <w:r>
        <w:rPr>
          <w:rtl w:val="0"/>
        </w:rPr>
        <w:t>7. Hoạt động dạy học, dạy nghề theo quy định của pháp luật về giáo dục, giáo dục nghề nghiệp. Trường hợp các cơ sở dạy học, dạy nghề có các khoản thu hộ, chi hộ thì thuộc đối tượng không chịu thuế giá trị gia tăng; hàng hóa, dịch vụ do các tổ chức, cá nhân cung cấp cho các cơ sở dạy học, dạy nghề phải chịu thuế giá trị gia tăng theo quy định.</w:t>
      </w:r>
    </w:p>
    <w:p>
      <w:pPr>
        <w:bidi w:val="0"/>
        <w:spacing w:before="120" w:beforeAutospacing="0" w:after="280" w:afterAutospacing="1"/>
      </w:pPr>
      <w:bookmarkStart w:id="43" w:name="khoan_8_4"/>
      <w:r>
        <w:rPr>
          <w:rtl w:val="0"/>
        </w:rPr>
        <w:t>8. Xuất bản, nhập khẩu, phát hành báo, tạp chí, bản tin, đặc san, sách chính trị, sách giáo khoa, giáo trình, sách văn bản pháp luật, sách khoa học - kỹ thuật, sách phục vụ thông tin đối ngoại, sách in bằng chữ dân tộc thiểu số và tranh, ảnh, áp phích tuyên truyền cổ động, kể cả dưới dạng băng hoặc đĩa ghi tiếng, ghi hình, dữ liệu điện tử; tiền, in tiền. Trong đó:</w:t>
      </w:r>
      <w:bookmarkEnd w:id="43"/>
    </w:p>
    <w:p>
      <w:pPr>
        <w:bidi w:val="0"/>
        <w:spacing w:before="120" w:beforeAutospacing="0" w:after="280" w:afterAutospacing="1"/>
      </w:pPr>
      <w:r>
        <w:rPr>
          <w:rtl w:val="0"/>
        </w:rPr>
        <w:t>a) Sách chính trị là sách tuyên truyền đường lối chính trị của Đảng và Nhà nước phục vụ nhiệm vụ chính trị theo chuyên đề, chủ đề, phục vụ các ngày kỷ niệm, ngày truyền thống của các tổ chức, các cấp, các ngành, địa phương; các loại sách thống kê, tuyên truyền phong trào người tốt việc tốt; sách in các bài phát biểu, nghiên cứu lý luận của lãnh đạo Đảng và Nhà nước.</w:t>
      </w:r>
    </w:p>
    <w:p>
      <w:pPr>
        <w:bidi w:val="0"/>
        <w:spacing w:before="120" w:beforeAutospacing="0" w:after="280" w:afterAutospacing="1"/>
      </w:pPr>
      <w:r>
        <w:rPr>
          <w:rtl w:val="0"/>
        </w:rPr>
        <w:t>b) Sách giáo khoa là sách dùng để giảng dạy và học tập trong tất cả các cấp từ mầm non đến trung học phổ thông (bao gồm cả sách tham khảo dùng cho giáo viên và học sinh phù hợp với nội dung chương trình giáo dục).</w:t>
      </w:r>
    </w:p>
    <w:p>
      <w:pPr>
        <w:bidi w:val="0"/>
        <w:spacing w:before="120" w:beforeAutospacing="0" w:after="280" w:afterAutospacing="1"/>
      </w:pPr>
      <w:r>
        <w:rPr>
          <w:rtl w:val="0"/>
        </w:rPr>
        <w:t>c) Giáo trình là sách dùng để giảng dạy và học tập trong các trường đại học, cao đẳng, trung học chuyên nghiệp và dạy nghề.</w:t>
      </w:r>
    </w:p>
    <w:p>
      <w:pPr>
        <w:bidi w:val="0"/>
        <w:spacing w:before="120" w:beforeAutospacing="0" w:after="280" w:afterAutospacing="1"/>
      </w:pPr>
      <w:r>
        <w:rPr>
          <w:rtl w:val="0"/>
        </w:rPr>
        <w:t>d) Sách văn bản pháp luật là sách in các văn bản quy phạm pháp luật của Nhà nước.</w:t>
      </w:r>
    </w:p>
    <w:p>
      <w:pPr>
        <w:bidi w:val="0"/>
        <w:spacing w:before="120" w:beforeAutospacing="0" w:after="280" w:afterAutospacing="1"/>
      </w:pPr>
      <w:r>
        <w:rPr>
          <w:rtl w:val="0"/>
        </w:rPr>
        <w:t>đ) Sách khoa học - kỹ thuật là sách dùng để giới thiệu, hướng dẫn những kiến thức khoa học, kỹ thuật có quan hệ trực tiếp đến sản xuất và các ngành khoa học, kỹ thuật.</w:t>
      </w:r>
    </w:p>
    <w:p>
      <w:pPr>
        <w:bidi w:val="0"/>
        <w:spacing w:before="120" w:beforeAutospacing="0" w:after="280" w:afterAutospacing="1"/>
      </w:pPr>
      <w:r>
        <w:rPr>
          <w:rtl w:val="0"/>
        </w:rPr>
        <w:t>e) Sách in bằng chữ dân tộc thiểu số bao gồm cả sách in song ngữ chữ phổ thông và chữ dân tộc thiểu số.</w:t>
      </w:r>
    </w:p>
    <w:p>
      <w:pPr>
        <w:bidi w:val="0"/>
        <w:spacing w:before="120" w:beforeAutospacing="0" w:after="280" w:afterAutospacing="1"/>
      </w:pPr>
      <w:r>
        <w:rPr>
          <w:rtl w:val="0"/>
        </w:rPr>
        <w:t>g) Tranh, ảnh, áp phích tuyên truyền cổ động là tranh, ảnh, áp phích, các loại tờ rơi, tờ gấp phục vụ cho mục đích tuyên truyền, cổ động, khẩu hiệu, ảnh lãnh tụ, Đảng kỳ, Quốc kỳ, Đoàn kỳ, Đội kỳ.</w:t>
      </w:r>
    </w:p>
    <w:p>
      <w:pPr>
        <w:bidi w:val="0"/>
        <w:spacing w:before="120" w:beforeAutospacing="0" w:after="280" w:afterAutospacing="1"/>
      </w:pPr>
      <w:r>
        <w:rPr>
          <w:rtl w:val="0"/>
        </w:rPr>
        <w:t xml:space="preserve">h) Sách phục vụ thông tin đối ngoại, trong đó thông tin đối ngoại thực hiện theo Nghị định số </w:t>
      </w:r>
      <w:bookmarkStart w:id="44" w:name="tvpllink_keywpyqiqe"/>
      <w:r>
        <w:rPr>
          <w:rtl w:val="0"/>
        </w:rPr>
        <w:t>72/2015/NĐ-CP</w:t>
      </w:r>
      <w:bookmarkEnd w:id="44"/>
      <w:r>
        <w:rPr>
          <w:rtl w:val="0"/>
        </w:rPr>
        <w:t xml:space="preserve"> ngày 07 tháng 9 năm 2015 của Chính phủ về quản lý hoạt động thông tin đối ngoại.</w:t>
      </w:r>
    </w:p>
    <w:p>
      <w:pPr>
        <w:bidi w:val="0"/>
        <w:spacing w:before="120" w:beforeAutospacing="0" w:after="280" w:afterAutospacing="1"/>
      </w:pPr>
      <w:r>
        <w:rPr>
          <w:rtl w:val="0"/>
        </w:rPr>
        <w:t>9. Vận chuyển hành khách công cộng bằng xe buýt, tàu điện, phương tiện thủy nội địa thực hiện nội tỉnh, trong đô thị và các tuyến lân cận ngoại tỉnh có các điểm dừng đón, trả khách.</w:t>
      </w:r>
    </w:p>
    <w:p>
      <w:pPr>
        <w:bidi w:val="0"/>
        <w:spacing w:before="120" w:beforeAutospacing="0" w:after="280" w:afterAutospacing="1"/>
      </w:pPr>
      <w:r>
        <w:rPr>
          <w:rtl w:val="0"/>
        </w:rPr>
        <w:t>10. Máy móc, thiết bị, phụ tùng, vật tư thuộc loại trong nước chưa sản xuất được cần nhập khẩu để sử dụng trực tiếp cho hoạt động nghiên cứu khoa học, phát triển công nghệ; máy móc, thiết bị, phụ tùng thay thế, phương tiện vận tải chuyên dùng và vật tư thuộc loại trong nước chưa sản xuất được cần nhập khẩu để tiến hành hoạt động tìm kiếm thăm dò, phát triển mỏ dầu khí; máy bay, trực thăng, tàu lượn, giàn khoan, tàu thuyền thuộc loại trong nước chưa sản xuất được cần nhập khẩu để tạo tài sản cố định của doanh nghiệp hoặc thuê của nước ngoài để sử dụng cho sản xuất, kinh doanh, cho thuê. Trong đó:</w:t>
      </w:r>
    </w:p>
    <w:p>
      <w:pPr>
        <w:bidi w:val="0"/>
        <w:spacing w:before="120" w:beforeAutospacing="0" w:after="280" w:afterAutospacing="1"/>
      </w:pPr>
      <w:r>
        <w:rPr>
          <w:rtl w:val="0"/>
        </w:rPr>
        <w:t>Danh mục máy móc, thiết bị, phụ tùng, vật tư thuộc loại trong nước đã sản xuất được để làm cơ sở phân biệt với loại trong nước chưa sản xuất được cần nhập khẩu sử dụng trực tiếp cho hoạt động nghiên cứu khoa học và phát triển công nghệ; Danh mục máy móc, thiết bị, phụ tùng thay thế, phương tiện vận tải chuyên dùng và vật tư thuộc loại trong nước đã sản xuất được làm cơ sở phân biệt với loại trong nước chưa sản xuất được cần nhập khẩu để tiến hành hoạt động tìm kiếm thăm dò, phát triển mỏ dầu khí; Danh mục máy bay, trực thăng, tàu lượn, giàn khoan, tàu thuyền thuộc loại trong nước đã sản xuất được làm cơ sở phân biệt với loại trong nước chưa sản xuất được cần nhập khẩu để tạo tài sản cố định của doanh nghiệp hoặc thuê của nước ngoài để sử dụng cho sản xuất, kinh doanh, cho thuê do Bộ Tài chính ban hành.</w:t>
      </w:r>
    </w:p>
    <w:p>
      <w:pPr>
        <w:bidi w:val="0"/>
        <w:spacing w:before="120" w:beforeAutospacing="0" w:after="280" w:afterAutospacing="1"/>
      </w:pPr>
      <w:r>
        <w:rPr>
          <w:rtl w:val="0"/>
        </w:rPr>
        <w:t>11. Hàng hóa nhập khẩu trong trường hợp viện trợ nhân đạo, viện trợ không hoàn lại. Hàng hóa, dịch vụ bán cho tổ chức, cá nhân nước ngoài, tổ chức quốc tế để viện trợ nhân đạo, viện trợ không hoàn lại cho Việt Nam. Trong đó:</w:t>
      </w:r>
    </w:p>
    <w:p>
      <w:pPr>
        <w:bidi w:val="0"/>
        <w:spacing w:before="120" w:beforeAutospacing="0" w:after="280" w:afterAutospacing="1"/>
      </w:pPr>
      <w:r>
        <w:rPr>
          <w:rtl w:val="0"/>
        </w:rPr>
        <w:t>a) Hàng hóa nhập khẩu trong trường hợp viện trợ nhân đạo, viện trợ không hoàn lại là hàng hóa viện trợ theo quy định của pháp luật về tiếp nhận, quản lý và sử dụng viện trợ nhân đạo, viện trợ không hoàn lại.</w:t>
      </w:r>
    </w:p>
    <w:p>
      <w:pPr>
        <w:bidi w:val="0"/>
        <w:spacing w:before="120" w:beforeAutospacing="0" w:after="280" w:afterAutospacing="1"/>
      </w:pPr>
      <w:r>
        <w:rPr>
          <w:rtl w:val="0"/>
        </w:rPr>
        <w:t>b) Hàng hóa, dịch vụ mua trong nước để viện trợ nhân đạo, viện trợ không hoàn lại cho Việt Nam thì tổ chức, cá nhân nước ngoài, tổ chức quốc tế phải có văn bản gửi cho cơ sở bán hàng trong đó ghi rõ tên của tổ chức, cá nhân nước ngoài, tổ chức quốc tế mua hàng hóa, dịch vụ để viện trợ nhân đạo, viện trợ không hoàn lại cho Việt Nam, số lượng hoặc giá trị hàng hóa, dịch vụ mua và phải có xác nhận của các cơ quan, đơn vị có thẩm quyền nhận viện trợ nhân đạo, viện trợ không hoàn lại. Các cơ quan, đơn vị nhận viện trợ nhân đạo, viện trợ không hoàn lại có trách nhiệm xác nhận theo đề nghị của tổ chức, cá nhân nước ngoài, tổ chức quốc tế.</w:t>
      </w:r>
    </w:p>
    <w:p>
      <w:pPr>
        <w:bidi w:val="0"/>
        <w:spacing w:before="120" w:beforeAutospacing="0" w:after="280" w:afterAutospacing="1"/>
      </w:pPr>
      <w:r>
        <w:rPr>
          <w:rtl w:val="0"/>
        </w:rPr>
        <w:t>12. Hàng hóa chuyển khẩu, quá cảnh qua lãnh thổ Việt Nam; hàng tạm nhập khẩu, tái xuất khẩu; hàng tạm xuất khẩu, tái nhập khẩu; nguyên liệu nhập khẩu để sản xuất, gia công hàng hóa xuất khẩu theo hợp đồng sản xuất, gia công xuất khẩu ký kết với bên nước ngoài; hàng hóa, dịch vụ được mua bán giữa nước ngoài với các khu phi thuế quan và giữa các khu phi thuế quan với nhau. Hàng hóa nhập khẩu từ nước ngoài của công ty cho thuê tài chính được vận chuyển thẳng vào khu phi thuế quan để cho doanh nghiệp trong khu phi thuế quan thuê tài chính. Khu phi thuế quan thực hiện theo quy định của pháp luật về thuế xuất khẩu, thuế nhập khẩu.</w:t>
      </w:r>
    </w:p>
    <w:p>
      <w:pPr>
        <w:bidi w:val="0"/>
        <w:spacing w:before="120" w:beforeAutospacing="0" w:after="280" w:afterAutospacing="1"/>
      </w:pPr>
      <w:r>
        <w:rPr>
          <w:rtl w:val="0"/>
        </w:rPr>
        <w:t xml:space="preserve">13. Chuyển giao công nghệ theo quy định của </w:t>
      </w:r>
      <w:bookmarkStart w:id="45" w:name="tvpllink_kdsjezrrqd"/>
      <w:r>
        <w:rPr>
          <w:rtl w:val="0"/>
        </w:rPr>
        <w:t>Luật Chuyển giao công nghệ</w:t>
      </w:r>
      <w:bookmarkEnd w:id="45"/>
      <w:r>
        <w:rPr>
          <w:rtl w:val="0"/>
        </w:rPr>
        <w:t xml:space="preserve">; chuyển nhượng quyền sở hữu trí tuệ theo quy định của </w:t>
      </w:r>
      <w:bookmarkStart w:id="46" w:name="tvpllink_dzwelzxvyq"/>
      <w:r>
        <w:rPr>
          <w:rtl w:val="0"/>
        </w:rPr>
        <w:t>Luật Sở hữu trí tuệ</w:t>
      </w:r>
      <w:bookmarkEnd w:id="46"/>
      <w:r>
        <w:rPr>
          <w:rtl w:val="0"/>
        </w:rPr>
        <w:t>; sản phẩm phần mềm và dịch vụ phần mềm theo quy định của pháp luật về công nghệ thông tin, pháp luật về công nghiệp công nghệ số và pháp luật liên quan. Trường hợp chuyển giao công nghệ, chuyển nhượng quyền sở hữu trí tuệ có kèm theo chuyển giao máy móc, thiết bị thì cơ sở kinh doanh phải tách riêng giá trị công nghệ chuyển giao, giá trị quyền sở hữu trí tuệ chuyển nhượng để xác định đối tượng không chịu thuế giá trị gia tăng; trường hợp không tách riêng được thì toàn bộ giá trị hợp đồng thuộc đối tượng chịu thuế giá trị gia tăng.</w:t>
      </w:r>
    </w:p>
    <w:p>
      <w:pPr>
        <w:bidi w:val="0"/>
        <w:spacing w:before="120" w:beforeAutospacing="0" w:after="280" w:afterAutospacing="1"/>
      </w:pPr>
      <w:bookmarkStart w:id="47" w:name="khoan_14_4"/>
      <w:r>
        <w:rPr>
          <w:rtl w:val="0"/>
        </w:rPr>
        <w:t>14. Sản phẩm xuất khẩu là tài nguyên, khoáng sản khai thác chưa chế biến thành sản phẩm khác và sản phẩm xuất khẩu là tài nguyên, khoáng sản khai thác đã chế biến thành sản phẩm khác theo định hướng của nhà nước về không khuyến khích xuất khẩu, hạn chế xuất khẩu các tài nguyên, khoáng sản thô được quy định tại Danh mục</w:t>
      </w:r>
      <w:bookmarkEnd w:id="47"/>
      <w:r>
        <w:rPr>
          <w:rtl w:val="0"/>
        </w:rPr>
        <w:t xml:space="preserve"> (</w:t>
      </w:r>
      <w:bookmarkStart w:id="48" w:name="bieumau_pl_01"/>
      <w:r>
        <w:rPr>
          <w:rtl w:val="0"/>
        </w:rPr>
        <w:t>Phụ lục I</w:t>
      </w:r>
      <w:bookmarkEnd w:id="48"/>
      <w:r>
        <w:rPr>
          <w:rtl w:val="0"/>
        </w:rPr>
        <w:t xml:space="preserve">, </w:t>
      </w:r>
      <w:bookmarkStart w:id="49" w:name="bieumau_pl_02"/>
      <w:r>
        <w:rPr>
          <w:rtl w:val="0"/>
        </w:rPr>
        <w:t>Phụ lục II</w:t>
      </w:r>
      <w:bookmarkEnd w:id="49"/>
      <w:r>
        <w:rPr>
          <w:rtl w:val="0"/>
        </w:rPr>
        <w:t xml:space="preserve">) </w:t>
      </w:r>
      <w:bookmarkStart w:id="50" w:name="khoan_14_4_name"/>
      <w:r>
        <w:rPr>
          <w:rtl w:val="0"/>
        </w:rPr>
        <w:t>ban hành kèm theo Nghị định này.</w:t>
      </w:r>
      <w:bookmarkEnd w:id="50"/>
    </w:p>
    <w:p>
      <w:pPr>
        <w:bidi w:val="0"/>
        <w:spacing w:before="120" w:beforeAutospacing="0" w:after="280" w:afterAutospacing="1"/>
      </w:pPr>
      <w:r>
        <w:rPr>
          <w:rtl w:val="0"/>
        </w:rPr>
        <w:t>Trong trường hợp cần thiết phải điều chỉnh sản phẩm xuất khẩu tại Danh mục (</w:t>
      </w:r>
      <w:bookmarkStart w:id="51" w:name="bieumau_pl_01_1"/>
      <w:r>
        <w:rPr>
          <w:rtl w:val="0"/>
        </w:rPr>
        <w:t>Phụ lục I</w:t>
      </w:r>
      <w:bookmarkEnd w:id="51"/>
      <w:r>
        <w:rPr>
          <w:rtl w:val="0"/>
        </w:rPr>
        <w:t xml:space="preserve">, </w:t>
      </w:r>
      <w:bookmarkStart w:id="52" w:name="bieumau_pl_02_1"/>
      <w:r>
        <w:rPr>
          <w:rtl w:val="0"/>
        </w:rPr>
        <w:t>Phụ lục II</w:t>
      </w:r>
      <w:bookmarkEnd w:id="52"/>
      <w:r>
        <w:rPr>
          <w:rtl w:val="0"/>
        </w:rPr>
        <w:t>) để phù hợp với bối cảnh kinh tế - xã hội trong từng thời kỳ, giao Bộ Tài chính phối hợp với các bộ liên quan báo cáo Chính phủ xem xét, quyết định.</w:t>
      </w:r>
    </w:p>
    <w:p>
      <w:pPr>
        <w:bidi w:val="0"/>
        <w:spacing w:before="120" w:beforeAutospacing="0" w:after="280" w:afterAutospacing="1"/>
      </w:pPr>
      <w:r>
        <w:rPr>
          <w:rtl w:val="0"/>
        </w:rPr>
        <w:t>Đối với sản phẩm xuất khẩu là tài nguyên, khoáng sản khai thác đã chế biến thành sản phẩm khác cần khuyến khích xuất khẩu, có giá trị gia tăng cao theo xác định và đề xuất của Bộ Công Thương thì Bộ Tài chính chủ trì phối hợp với các bộ liên quan báo cáo Chính phủ xem xét, quyết định.</w:t>
      </w:r>
    </w:p>
    <w:p>
      <w:pPr>
        <w:bidi w:val="0"/>
        <w:spacing w:before="120" w:beforeAutospacing="0" w:after="280" w:afterAutospacing="1"/>
      </w:pPr>
      <w:r>
        <w:rPr>
          <w:rtl w:val="0"/>
        </w:rPr>
        <w:t>15. Hàng hóa nhập khẩu trong trường hợp sau:</w:t>
      </w:r>
    </w:p>
    <w:p>
      <w:pPr>
        <w:bidi w:val="0"/>
        <w:spacing w:before="120" w:beforeAutospacing="0" w:after="280" w:afterAutospacing="1"/>
      </w:pPr>
      <w:r>
        <w:rPr>
          <w:rtl w:val="0"/>
        </w:rPr>
        <w:t>a) Quà tặng cho cơ quan nhà nước, tổ chức chính trị, tổ chức chính trị - xã hội, tổ chức chính trị xã hội - nghề nghiệp, tổ chức xã hội, tổ chức xã hội - nghề nghiệp, đơn vị vũ trang nhân dân trong định mức miễn thuế nhập khẩu theo quy định của pháp luật về thuế xuất khẩu, thuế nhập khẩu.</w:t>
      </w:r>
    </w:p>
    <w:p>
      <w:pPr>
        <w:bidi w:val="0"/>
        <w:spacing w:before="120" w:beforeAutospacing="0" w:after="280" w:afterAutospacing="1"/>
      </w:pPr>
      <w:r>
        <w:rPr>
          <w:rtl w:val="0"/>
        </w:rPr>
        <w:t>b) Quà biếu, quà tặng trong định mức miễn thuế nhập khẩu theo quy định của pháp luật về thuế xuất khẩu, thuế nhập khẩu của tổ chức, cá nhân nước ngoài cho cá nhân Việt Nam; đồ dùng của tổ chức, cá nhân nước ngoài theo tiêu chuẩn miễn trừ ngoại giao và tài sản di chuyển trong định mức miễn thuế nhập khẩu theo quy định của pháp luật về thuế xuất khẩu, thuế nhập khẩu.</w:t>
      </w:r>
    </w:p>
    <w:p>
      <w:pPr>
        <w:bidi w:val="0"/>
        <w:spacing w:before="120" w:beforeAutospacing="0" w:after="280" w:afterAutospacing="1"/>
      </w:pPr>
      <w:r>
        <w:rPr>
          <w:rtl w:val="0"/>
        </w:rPr>
        <w:t>c) Hàng hóa trong tiêu chuẩn hành lý miễn thuế nhập khẩu theo quy định của pháp luật về thuế xuất khẩu, thuế nhập khẩu.</w:t>
      </w:r>
    </w:p>
    <w:p>
      <w:pPr>
        <w:bidi w:val="0"/>
        <w:spacing w:before="120" w:beforeAutospacing="0" w:after="280" w:afterAutospacing="1"/>
      </w:pPr>
      <w:bookmarkStart w:id="53" w:name="diem_d_15_4"/>
      <w:r>
        <w:rPr>
          <w:rtl w:val="0"/>
        </w:rPr>
        <w:t>d) Hàng hóa nhập khẩu ủng hộ, tài trợ cho phòng, chống, khắc phục hậu quả thảm họa, thiên tai, dịch bệnh, chiến tranh là hàng hóa ủng hộ, tài trợ được các bộ, cơ quan ngang bộ, Ủy ban nhân dân các tỉnh, thành phố, Ủy ban Mặt trận Tổ quốc Việt Nam các tỉnh, thành phố tiếp nhận. Các cơ quan, tổ chức tiếp nhận có trách nhiệm ban hành văn bản tiếp nhận theo đề nghị của tổ chức, cá nhân ủng hộ, tài trợ.</w:t>
      </w:r>
      <w:bookmarkEnd w:id="53"/>
    </w:p>
    <w:p>
      <w:pPr>
        <w:bidi w:val="0"/>
        <w:spacing w:before="120" w:beforeAutospacing="0" w:after="280" w:afterAutospacing="1"/>
      </w:pPr>
      <w:r>
        <w:rPr>
          <w:rtl w:val="0"/>
        </w:rPr>
        <w:t>đ) Hàng hóa mua bán, trao đổi để phục vụ cho sản xuất, tiêu dùng của cư dân biên giới thuộc Danh mục hàng hóa mua bán, trao đổi của cư dân biên giới theo quy định của pháp luật và trong định mức miễn thuế nhập khẩu theo quy định của pháp luật về thuế xuất khẩu, thuế nhập khẩu.</w:t>
      </w:r>
    </w:p>
    <w:p>
      <w:pPr>
        <w:bidi w:val="0"/>
        <w:spacing w:before="120" w:beforeAutospacing="0" w:after="280" w:afterAutospacing="1"/>
      </w:pPr>
      <w:r>
        <w:rPr>
          <w:rtl w:val="0"/>
        </w:rPr>
        <w:t>e) Di vật, cổ vật, bảo vật quốc gia theo quy định của pháp luật về di sản văn hóa do cơ quan nhà nước có thẩm quyền nhập khẩu bao gồm cả trường hợp ủy quyền và ủy thác nhập khẩu.</w:t>
      </w:r>
    </w:p>
    <w:p>
      <w:pPr>
        <w:bidi w:val="0"/>
        <w:spacing w:before="120" w:beforeAutospacing="0" w:after="280" w:afterAutospacing="1"/>
      </w:pPr>
      <w:r>
        <w:rPr>
          <w:rtl w:val="0"/>
        </w:rPr>
        <w:t xml:space="preserve">16. Cơ sở kinh doanh hàng hóa, dịch vụ không chịu thuế giá trị gia tăng quy định tại Điều này không được khấu trừ, không được hoàn thuế giá trị gia tăng đầu vào của hàng hóa, dịch vụ không chịu thuế giá trị gia tăng, trừ trường hợp áp dụng mức thuế suất 0% quy định tại </w:t>
      </w:r>
      <w:bookmarkStart w:id="54" w:name="dc_17"/>
      <w:r>
        <w:rPr>
          <w:rtl w:val="0"/>
        </w:rPr>
        <w:t>khoản 1 Điều 9 của Luật Thuế giá trị gia tăng</w:t>
      </w:r>
      <w:bookmarkEnd w:id="54"/>
      <w:r>
        <w:rPr>
          <w:rtl w:val="0"/>
        </w:rPr>
        <w:t>.</w:t>
      </w:r>
    </w:p>
    <w:p>
      <w:pPr>
        <w:bidi w:val="0"/>
        <w:spacing w:before="120" w:beforeAutospacing="0" w:after="280" w:afterAutospacing="1"/>
      </w:pPr>
      <w:bookmarkStart w:id="55" w:name="chuong_2"/>
      <w:r>
        <w:rPr>
          <w:b/>
          <w:bCs/>
          <w:rtl w:val="0"/>
        </w:rPr>
        <w:t>Chương II</w:t>
      </w:r>
      <w:bookmarkEnd w:id="55"/>
    </w:p>
    <w:p>
      <w:pPr>
        <w:bidi w:val="0"/>
        <w:spacing w:before="120" w:beforeAutospacing="0" w:after="280" w:afterAutospacing="1"/>
        <w:jc w:val="center"/>
      </w:pPr>
      <w:bookmarkStart w:id="56" w:name="chuong_2_name"/>
      <w:r>
        <w:rPr>
          <w:b/>
          <w:bCs/>
          <w:sz w:val="24"/>
          <w:rtl w:val="0"/>
        </w:rPr>
        <w:t>CĂN CỨ VÀ PHƯƠNG PHÁP TÍNH THUẾ</w:t>
      </w:r>
      <w:bookmarkEnd w:id="56"/>
    </w:p>
    <w:p>
      <w:pPr>
        <w:bidi w:val="0"/>
        <w:spacing w:before="120" w:beforeAutospacing="0" w:after="280" w:afterAutospacing="1"/>
      </w:pPr>
      <w:bookmarkStart w:id="57" w:name="muc_1"/>
      <w:r>
        <w:rPr>
          <w:b/>
          <w:bCs/>
          <w:rtl w:val="0"/>
        </w:rPr>
        <w:t>Mục 1. GIÁ TÍNH THUẾ</w:t>
      </w:r>
      <w:bookmarkEnd w:id="57"/>
    </w:p>
    <w:p>
      <w:pPr>
        <w:bidi w:val="0"/>
        <w:spacing w:before="120" w:beforeAutospacing="0" w:after="280" w:afterAutospacing="1"/>
      </w:pPr>
      <w:bookmarkStart w:id="58" w:name="dieu_5"/>
      <w:r>
        <w:rPr>
          <w:b/>
          <w:bCs/>
          <w:rtl w:val="0"/>
        </w:rPr>
        <w:t>Điều 5. Giá tính thuế đối với hàng hóa, dịch vụ bán ra và hàng hóa nhập khẩu</w:t>
      </w:r>
      <w:bookmarkEnd w:id="58"/>
    </w:p>
    <w:p>
      <w:pPr>
        <w:bidi w:val="0"/>
        <w:spacing w:before="120" w:beforeAutospacing="0" w:after="280" w:afterAutospacing="1"/>
      </w:pPr>
      <w:bookmarkStart w:id="59" w:name="khoan_1_5"/>
      <w:r>
        <w:rPr>
          <w:rtl w:val="0"/>
        </w:rPr>
        <w:t>1. Đối với hàng hóa, dịch vụ do cơ sở kinh doanh bán ra là giá bán chưa có thuế giá trị gia tăng; đối với hàng hóa, dịch vụ chịu thuế tiêu thụ đặc biệt là giá bán đã có thuế tiêu thụ đặc biệt nhưng chưa có thuế giá trị gia tăng; đối với hàng hóa chịu thuế bảo vệ môi trường là giá bán đã có thuế bảo vệ môi trường nhưng chưa có thuế giá trị gia tăng; đối với hàng hóa chịu thuế tiêu thụ đặc biệt và thuế bảo vệ môi trường là giá bán đã có thuế tiêu thụ đặc biệt và thuế bảo vệ môi trường nhưng chưa có thuế giá trị gia tăng.</w:t>
      </w:r>
      <w:bookmarkEnd w:id="59"/>
    </w:p>
    <w:p>
      <w:pPr>
        <w:bidi w:val="0"/>
        <w:spacing w:before="120" w:beforeAutospacing="0" w:after="280" w:afterAutospacing="1"/>
      </w:pPr>
      <w:bookmarkStart w:id="60" w:name="khoan_2_5"/>
      <w:r>
        <w:rPr>
          <w:rtl w:val="0"/>
        </w:rPr>
        <w:t>2. Đối với hàng hóa nhập khẩu là trị giá tính thuế nhập khẩu theo quy định của pháp luật về thuế xuất khẩu, thuế nhập khẩu cộng với thuế nhập khẩu, cộng với các khoản thuế là thuế nhập khẩu bổ sung theo quy định của pháp luật về thuế xuất khẩu, thuế nhập khẩu và pháp luật về quản lý ngoại thương (nếu có), cộng với thuế tiêu thụ đặc biệt (nếu có) và cộng với thuế bảo vệ môi trường (nếu có).</w:t>
      </w:r>
      <w:bookmarkEnd w:id="60"/>
    </w:p>
    <w:p>
      <w:pPr>
        <w:bidi w:val="0"/>
        <w:spacing w:before="120" w:beforeAutospacing="0" w:after="280" w:afterAutospacing="1"/>
      </w:pPr>
      <w:r>
        <w:rPr>
          <w:rtl w:val="0"/>
        </w:rPr>
        <w:t>a) Trường hợp hàng hóa nhập khẩu được miễn thuế nhập khẩu thì giá tính thuế giá trị gia tăng là trị giá tính thuế nhập khẩu.</w:t>
      </w:r>
    </w:p>
    <w:p>
      <w:pPr>
        <w:bidi w:val="0"/>
        <w:spacing w:before="120" w:beforeAutospacing="0" w:after="280" w:afterAutospacing="1"/>
      </w:pPr>
      <w:r>
        <w:rPr>
          <w:rtl w:val="0"/>
        </w:rPr>
        <w:t>b) Trường hợp hàng hóa nhập khẩu được giảm thuế nhập khẩu thì giá tính thuế giá trị gia tăng là trị giá tính thuế nhập khẩu cộng (+) với thuế nhập khẩu xác định theo mức thuế phải nộp sau khi đã được giảm.</w:t>
      </w:r>
    </w:p>
    <w:p>
      <w:pPr>
        <w:bidi w:val="0"/>
        <w:spacing w:before="120" w:beforeAutospacing="0" w:after="280" w:afterAutospacing="1"/>
      </w:pPr>
      <w:r>
        <w:rPr>
          <w:rtl w:val="0"/>
        </w:rPr>
        <w:t>c) Trường hợp hàng hóa nhập khẩu thuộc đối tượng chịu thuế giá trị gia tăng và được miễn thuế nhập khẩu, sau đó thay đổi mục đích sử dụng dẫn đến phát sinh số thuế nhập khẩu phải nộp thì phải nộp thuế giá trị gia tăng bổ sung trên số tiền thuế nhập khẩu phải nộp.</w:t>
      </w:r>
    </w:p>
    <w:p>
      <w:pPr>
        <w:bidi w:val="0"/>
        <w:spacing w:before="120" w:beforeAutospacing="0" w:after="280" w:afterAutospacing="1"/>
      </w:pPr>
      <w:bookmarkStart w:id="61" w:name="dieu_6"/>
      <w:r>
        <w:rPr>
          <w:b/>
          <w:bCs/>
          <w:rtl w:val="0"/>
        </w:rPr>
        <w:t>Điều 6. Giá tính thuế đối với hàng hóa, dịch vụ dùng để trao đổi, tiêu dùng nội bộ, biếu, tặng, cho và hàng hóa, dịch vụ dùng để khuyến mại</w:t>
      </w:r>
      <w:bookmarkEnd w:id="61"/>
    </w:p>
    <w:p>
      <w:pPr>
        <w:bidi w:val="0"/>
        <w:spacing w:before="120" w:beforeAutospacing="0" w:after="280" w:afterAutospacing="1"/>
      </w:pPr>
      <w:bookmarkStart w:id="62" w:name="khoan_1_6"/>
      <w:r>
        <w:rPr>
          <w:rtl w:val="0"/>
        </w:rPr>
        <w:t>1. Đối với hàng hóa, dịch vụ dùng để trao đổi, tiêu dùng nội bộ, biếu, tặng, cho là giá tính thuế giá trị gia tăng của hàng hóa, dịch vụ cùng loại hoặc tương đương tại thời điểm phát sinh các hoạt động này. Trong đó, hàng hóa, dịch vụ tiêu dùng nội bộ là hàng hóa, dịch vụ do cơ sở kinh doanh xuất hoặc cung cấp sử dụng cho tiêu dùng, không bao gồm:</w:t>
      </w:r>
      <w:bookmarkEnd w:id="62"/>
    </w:p>
    <w:p>
      <w:pPr>
        <w:bidi w:val="0"/>
        <w:spacing w:before="120" w:beforeAutospacing="0" w:after="280" w:afterAutospacing="1"/>
      </w:pPr>
      <w:r>
        <w:rPr>
          <w:rtl w:val="0"/>
        </w:rPr>
        <w:t>a) Hàng hóa, dịch vụ sử dụng để tiếp tục quá trình sản xuất, kinh doanh của cơ sở kinh doanh như hàng hóa được xuất để chuyển kho nội bộ, xuất vật tư, bán thành phẩm, để tiếp tục quá trình sản xuất, kinh doanh trong một cơ sở kinh doanh.</w:t>
      </w:r>
    </w:p>
    <w:p>
      <w:pPr>
        <w:bidi w:val="0"/>
        <w:spacing w:before="120" w:beforeAutospacing="0" w:after="280" w:afterAutospacing="1"/>
      </w:pPr>
      <w:r>
        <w:rPr>
          <w:rtl w:val="0"/>
        </w:rPr>
        <w:t>b) Hàng hóa, dịch vụ do cơ sở kinh doanh xuất hoặc cung cấp sử dụng phục vụ hoạt động sản xuất, kinh doanh (bao gồm cả tài sản cố định do cơ sở kinh doanh tự xây dựng, tự sản xuất).</w:t>
      </w:r>
    </w:p>
    <w:p>
      <w:pPr>
        <w:bidi w:val="0"/>
        <w:spacing w:before="120" w:beforeAutospacing="0" w:after="280" w:afterAutospacing="1"/>
      </w:pPr>
      <w:r>
        <w:rPr>
          <w:rtl w:val="0"/>
        </w:rPr>
        <w:t>c) Tài sản điều chuyển giữa các đơn vị thành viên hạch toán phụ thuộc trong cơ sở kinh doanh; tài sản điều chuyển khi chia, tách, hợp nhất, sáp nhập, chuyển đổi loại hình doanh nghiệp; tài sản cố định đang sử dụng, đã thực hiện trích khấu hao khi điều chuyển theo giá trị ghi trên sổ sách kế toán giữa cơ sở kinh doanh và các đơn vị thành viên do một cơ sở kinh doanh sở hữu 100% vốn hoặc giữa các đơn vị thành viên do một cơ sở kinh doanh sở hữu 100% vốn để phục vụ cho hoạt động sản xuất, kinh doanh hàng hóa, dịch vụ chịu thuế giá trị gia tăng; tài sản góp vốn vào doanh nghiệp. Cơ sở kinh doanh có tài sản điều chuyển phải có lệnh điều chuyển tài sản, kèm theo bộ hồ sơ nguồn gốc tài sản. Tài sản góp vốn vào doanh nghiệp phải có: biên bản góp vốn sản xuất kinh doanh, hợp đồng liên doanh, liên kết; biên bản định giá tài sản của Hội đồng giao nhận vốn góp của các bên góp vốn (hoặc văn bản định giá của tổ chức có chức năng định giá theo quy định của pháp luật), kèm theo bộ hồ sơ về nguồn gốc tài sản.</w:t>
      </w:r>
    </w:p>
    <w:p>
      <w:pPr>
        <w:bidi w:val="0"/>
        <w:spacing w:before="120" w:beforeAutospacing="0" w:after="280" w:afterAutospacing="1"/>
      </w:pPr>
      <w:r>
        <w:rPr>
          <w:rtl w:val="0"/>
        </w:rPr>
        <w:t>Cơ sở kinh doanh có hàng hóa, dịch vụ quy định tại điểm a, b, c khoản này thì không phải tính thuế giá trị gia tăng.</w:t>
      </w:r>
    </w:p>
    <w:p>
      <w:pPr>
        <w:bidi w:val="0"/>
        <w:spacing w:before="120" w:beforeAutospacing="0" w:after="280" w:afterAutospacing="1"/>
      </w:pPr>
      <w:bookmarkStart w:id="63" w:name="khoan_2_6"/>
      <w:r>
        <w:rPr>
          <w:rtl w:val="0"/>
        </w:rPr>
        <w:t>2. Đối với hàng hóa, dịch vụ dùng để khuyến mại theo quy định của pháp luật về thương mại, giá tính thuế được xác định bằng không (0), trừ trường hợp bán hàng, cung cấp dịch vụ với giá thấp hơn giá bán hàng, cung cấp dịch vụ trước đó, được áp dụng trong thời gian khuyến mại (khuyến mại bằng hình thức giảm giá) thì giá tính thuế là giá bán đã giảm áp dụng trong thời gian khuyến mại đã đăng ký hoặc thông báo theo quy định của pháp luật thương mại về hoạt động xúc tiến thương mại. Các hình thức khuyến mại của hàng hóa, dịch vụ khuyến mại có giá tính thuế bằng không (0) hoặc giá tính thuế của hàng hóa, dịch vụ bán ra không bao gồm giá trị của hàng hóa, dịch vụ dùng để khuyến mại, cụ thể như sau:</w:t>
      </w:r>
      <w:bookmarkEnd w:id="63"/>
    </w:p>
    <w:p>
      <w:pPr>
        <w:bidi w:val="0"/>
        <w:spacing w:before="120" w:beforeAutospacing="0" w:after="280" w:afterAutospacing="1"/>
      </w:pPr>
      <w:r>
        <w:rPr>
          <w:rtl w:val="0"/>
        </w:rPr>
        <w:t>a) Đưa hàng mẫu, cung cấp dịch vụ mẫu để khách hàng dùng thử không phải trả tiền thì hàng mẫu, dịch vụ mẫu có giá tính thuế bằng không (0).</w:t>
      </w:r>
    </w:p>
    <w:p>
      <w:pPr>
        <w:bidi w:val="0"/>
        <w:spacing w:before="120" w:beforeAutospacing="0" w:after="280" w:afterAutospacing="1"/>
      </w:pPr>
      <w:r>
        <w:rPr>
          <w:rtl w:val="0"/>
        </w:rPr>
        <w:t>b) Tặng hàng hóa, cung cấp dịch vụ không thu tiền thì hàng hóa, dịch vụ tặng có giá tính thuế bằng không (0).</w:t>
      </w:r>
    </w:p>
    <w:p>
      <w:pPr>
        <w:bidi w:val="0"/>
        <w:spacing w:before="120" w:beforeAutospacing="0" w:after="280" w:afterAutospacing="1"/>
      </w:pPr>
      <w:r>
        <w:rPr>
          <w:rtl w:val="0"/>
        </w:rPr>
        <w:t>c) Bán hàng hóa, cung cấp dịch vụ có kèm theo phiếu mua hàng hóa, phiếu sử dụng dịch vụ thì giá tính thuế của hàng hóa, dịch vụ không bao gồm giá trị phiếu mua hàng hóa, phiếu sử dụng dịch vụ.</w:t>
      </w:r>
    </w:p>
    <w:p>
      <w:pPr>
        <w:bidi w:val="0"/>
        <w:spacing w:before="120" w:beforeAutospacing="0" w:after="280" w:afterAutospacing="1"/>
      </w:pPr>
      <w:r>
        <w:rPr>
          <w:rtl w:val="0"/>
        </w:rPr>
        <w:t>d) Bán hàng hóa, cung cấp dịch vụ có kèm theo phiếu dự thi cho khách hàng để chọn người trao thưởng theo thể lệ và giải thưởng đã công bố (hoặc các hình thức tổ chức thi và trao thưởng khác tương đương) thì giá tính thuế của hàng hóa, dịch vụ không bao gồm giá trị của hàng hóa, dịch vụ trúng thưởng theo phiếu dự thi (nếu có).</w:t>
      </w:r>
    </w:p>
    <w:p>
      <w:pPr>
        <w:bidi w:val="0"/>
        <w:spacing w:before="120" w:beforeAutospacing="0" w:after="280" w:afterAutospacing="1"/>
      </w:pPr>
      <w:r>
        <w:rPr>
          <w:rtl w:val="0"/>
        </w:rPr>
        <w:t>đ) Bán hàng hóa, cung cấp dịch vụ kèm theo việc tham dự các chương trình mang tính may rủi mà việc tham gia chương trình gắn liền với việc mua hàng hóa, dịch vụ và việc trúng thưởng dựa trên sự may mắn của người tham gia theo thể lệ và giải thưởng đã công bố thì giá tính thuế của hàng hóa, dịch vụ không bao gồm giá trị của hàng hóa, dịch vụ dùng để trao thưởng.</w:t>
      </w:r>
    </w:p>
    <w:p>
      <w:pPr>
        <w:bidi w:val="0"/>
        <w:spacing w:before="120" w:beforeAutospacing="0" w:after="280" w:afterAutospacing="1"/>
      </w:pPr>
      <w:r>
        <w:rPr>
          <w:rtl w:val="0"/>
        </w:rPr>
        <w:t>e) Tổ chức chương trình khách hàng thường xuyên, theo đó việc tặng thưởng cho khách hàng căn cứ trên số lượng hoặc trị giá mua hàng hóa, dịch vụ mà khách hàng thực hiện được thể hiện dưới hình thức thẻ khách hàng, phiếu ghi nhận sự mua hàng hóa, dịch vụ hoặc các hình thức khác thì giá tính thuế không bao gồm giá trị của thẻ khách hàng, phiếu ghi nhận sự mua hàng hóa, dịch vụ hoặc các hình thức khác.</w:t>
      </w:r>
    </w:p>
    <w:p>
      <w:pPr>
        <w:bidi w:val="0"/>
        <w:spacing w:before="120" w:beforeAutospacing="0" w:after="280" w:afterAutospacing="1"/>
      </w:pPr>
      <w:r>
        <w:rPr>
          <w:rtl w:val="0"/>
        </w:rPr>
        <w:t>Trường hợp bán hàng hóa, cung cấp dịch vụ quy định tại khoản này nhưng không thực hiện theo quy định về khuyến mại của pháp luật về thương mại thì giá tính thuế thực hiện như hàng hóa biếu, tặng, cho quy định tại khoản 1 Điều này.</w:t>
      </w:r>
    </w:p>
    <w:p>
      <w:pPr>
        <w:bidi w:val="0"/>
        <w:spacing w:before="120" w:beforeAutospacing="0" w:after="280" w:afterAutospacing="1"/>
      </w:pPr>
      <w:bookmarkStart w:id="64" w:name="dieu_7"/>
      <w:r>
        <w:rPr>
          <w:b/>
          <w:bCs/>
          <w:rtl w:val="0"/>
        </w:rPr>
        <w:t>Điều 7. Giá tính thuế đối với hoạt động cho thuê tài sản, gia công hàng hóa và hoạt động xây dựng, lắp đặt</w:t>
      </w:r>
      <w:bookmarkEnd w:id="64"/>
    </w:p>
    <w:p>
      <w:pPr>
        <w:bidi w:val="0"/>
        <w:spacing w:before="120" w:beforeAutospacing="0" w:after="280" w:afterAutospacing="1"/>
      </w:pPr>
      <w:bookmarkStart w:id="65" w:name="khoan_1_7"/>
      <w:r>
        <w:rPr>
          <w:rtl w:val="0"/>
        </w:rPr>
        <w:t>1. Đối với hoạt động cho thuê tài sản là số tiền cho thuê chưa có thuế giá trị gia tăng. Trong đó:</w:t>
      </w:r>
      <w:bookmarkEnd w:id="65"/>
    </w:p>
    <w:p>
      <w:pPr>
        <w:bidi w:val="0"/>
        <w:spacing w:before="120" w:beforeAutospacing="0" w:after="280" w:afterAutospacing="1"/>
      </w:pPr>
      <w:r>
        <w:rPr>
          <w:rtl w:val="0"/>
        </w:rPr>
        <w:t>a) Số tiền cho thuê tài sản là giá thuê được quy định trong hợp đồng cho thuê tài sản.</w:t>
      </w:r>
    </w:p>
    <w:p>
      <w:pPr>
        <w:bidi w:val="0"/>
        <w:spacing w:before="120" w:beforeAutospacing="0" w:after="280" w:afterAutospacing="1"/>
      </w:pPr>
      <w:r>
        <w:rPr>
          <w:rtl w:val="0"/>
        </w:rPr>
        <w:t>b) Trường hợp cho thuê theo hình thức trả tiền thuê từng kỳ hoặc trả trước tiền thuê cho thời hạn thuê thì giá tính thuế là số tiền cho thuê trả từng kỳ hoặc trả trước cho thời hạn thuê chưa có thuế giá trị gia tăng.</w:t>
      </w:r>
    </w:p>
    <w:p>
      <w:pPr>
        <w:bidi w:val="0"/>
        <w:spacing w:before="120" w:beforeAutospacing="0" w:after="280" w:afterAutospacing="1"/>
      </w:pPr>
      <w:bookmarkStart w:id="66" w:name="khoan_2_7"/>
      <w:r>
        <w:rPr>
          <w:rtl w:val="0"/>
        </w:rPr>
        <w:t>2. Đối với gia công hàng hóa là giá gia công chưa có thuế giá trị gia tăng. Giá gia công là giá gia công theo hợp đồng gia công chưa có thuế giá trị gia tăng, bao gồm cả tiền công, chi phí về nhiên liệu, vật liệu phụ và chi phí khác phục vụ cho việc gia công hàng hóa.</w:t>
      </w:r>
      <w:bookmarkEnd w:id="66"/>
    </w:p>
    <w:p>
      <w:pPr>
        <w:bidi w:val="0"/>
        <w:spacing w:before="120" w:beforeAutospacing="0" w:after="280" w:afterAutospacing="1"/>
      </w:pPr>
      <w:bookmarkStart w:id="67" w:name="khoan_3_7"/>
      <w:r>
        <w:rPr>
          <w:rtl w:val="0"/>
        </w:rPr>
        <w:t>3. Đối với hoạt động xây dựng, lắp đặt là giá trị công trình, hạng mục công trình hay phần công việc thực hiện bàn giao bao gồm cả giá trị nguyên vật liệu, máy móc, thiết bị chưa có thuế giá trị gia tăng. Trường hợp xây dựng, lắp đặt không bao thầu nguyên vật liệu, máy móc, thiết bị thì giá tính thuế là giá trị xây dựng, lắp đặt không bao gồm giá trị nguyên vật liệu và máy móc, thiết bị.</w:t>
      </w:r>
      <w:bookmarkEnd w:id="67"/>
    </w:p>
    <w:p>
      <w:pPr>
        <w:bidi w:val="0"/>
        <w:spacing w:before="120" w:beforeAutospacing="0" w:after="280" w:afterAutospacing="1"/>
      </w:pPr>
      <w:bookmarkStart w:id="68" w:name="dieu_8"/>
      <w:r>
        <w:rPr>
          <w:b/>
          <w:bCs/>
          <w:rtl w:val="0"/>
        </w:rPr>
        <w:t>Điều 8. Giá tính thuế đối với hoạt động kinh doanh bất động sản</w:t>
      </w:r>
      <w:bookmarkEnd w:id="68"/>
    </w:p>
    <w:p>
      <w:pPr>
        <w:bidi w:val="0"/>
        <w:spacing w:before="120" w:beforeAutospacing="0" w:after="280" w:afterAutospacing="1"/>
      </w:pPr>
      <w:r>
        <w:rPr>
          <w:rtl w:val="0"/>
        </w:rPr>
        <w:t>Đối với hoạt động kinh doanh bất động sản là giá bán bất động sản chưa có thuế giá trị gia tăng, trừ tiền sử dụng đất hoặc tiền thuê đất nộp ngân sách nhà nước (giá đất được trừ). Giá đất được trừ để tính thuế giá trị gia tăng được xác định trong một số trường hợp như sau:</w:t>
      </w:r>
    </w:p>
    <w:p>
      <w:pPr>
        <w:bidi w:val="0"/>
        <w:spacing w:before="120" w:beforeAutospacing="0" w:after="280" w:afterAutospacing="1"/>
      </w:pPr>
      <w:r>
        <w:rPr>
          <w:rtl w:val="0"/>
        </w:rPr>
        <w:t>1. Trường hợp được Nhà nước giao đất, cho thuê đất trả tiền một lần cho cả thời gian thuê (thông qua đấu giá hoặc không thông qua đấu giá), chuyển mục đích sử dụng đất, công nhận quyền sử dụng đất, điều chỉnh quyết định giao đất, điều chỉnh quyết định cho thuê đất, điều chỉnh quy hoạch chi tiết, gia hạn sử dụng đất, điều chỉnh thời hạn sử dụng đất, chuyển hình thức từ thuê đất trả tiền hằng năm sang thuê đất trả tiền một lần cho cả thời gian thuê thì giá đất được trừ để tính thuế giá trị gia tăng là tiền sử dụng đất, tiền thuê đất trả tiền một lần cho cả thời gian thuê được tính theo quy định tại Nghị định của Chính phủ về tiền sử dụng đất, tiền thuê đất (chưa trừ tiền bồi thường, hỗ trợ, giải phóng mặt bằng về đất mà người sử dụng đất đã ứng trước (nếu có)).</w:t>
      </w:r>
    </w:p>
    <w:p>
      <w:pPr>
        <w:bidi w:val="0"/>
        <w:spacing w:before="120" w:beforeAutospacing="0" w:after="280" w:afterAutospacing="1"/>
      </w:pPr>
      <w:r>
        <w:rPr>
          <w:rtl w:val="0"/>
        </w:rPr>
        <w:t>2. Trường hợp cơ sở kinh doanh nhận chuyển nhượng bất động sản là quyền sử dụng đất của các tổ chức, cá nhân thì giá đất được trừ để tính thuế giá trị gia tăng khi chuyển nhượng là tiền sử dụng đất, tiền thuê đất nộp ngân sách nhà nước của khu đất, thửa đất nhận chuyển nhượng, không bao gồm giá trị cơ sở hạ tầng. Cơ sở kinh doanh được khấu trừ thuế giá trị gia tăng đầu vào của cơ sở hạ tầng (nếu có).</w:t>
      </w:r>
    </w:p>
    <w:p>
      <w:pPr>
        <w:bidi w:val="0"/>
        <w:spacing w:before="120" w:beforeAutospacing="0" w:after="280" w:afterAutospacing="1"/>
      </w:pPr>
      <w:r>
        <w:rPr>
          <w:rtl w:val="0"/>
        </w:rPr>
        <w:t>3. Trường hợp cơ sở kinh doanh nhận góp vốn bằng quyền sử dụng đất của tổ chức, cá nhân thì giá đất được trừ để tính thuế giá trị gia tăng là tiền sử dụng đất, tiền thuê đất nộp ngân sách nhà nước.</w:t>
      </w:r>
    </w:p>
    <w:p>
      <w:pPr>
        <w:bidi w:val="0"/>
        <w:spacing w:before="120" w:beforeAutospacing="0" w:after="280" w:afterAutospacing="1"/>
      </w:pPr>
      <w:r>
        <w:rPr>
          <w:rtl w:val="0"/>
        </w:rPr>
        <w:t>4. Trường hợp cơ sở kinh doanh thực hiện hợp đồng BT được thanh toán bằng quỹ đất thì giá đất được trừ để tính thuế giá trị gia tăng là giá trị quỹ đất được thanh toán theo quy định của pháp luật về đầu tư theo phương thức đối tác công tư.</w:t>
      </w:r>
    </w:p>
    <w:p>
      <w:pPr>
        <w:bidi w:val="0"/>
        <w:spacing w:before="120" w:beforeAutospacing="0" w:after="280" w:afterAutospacing="1"/>
      </w:pPr>
      <w:r>
        <w:rPr>
          <w:rtl w:val="0"/>
        </w:rPr>
        <w:t>5. Trường hợp cơ sở kinh doanh xây dựng, kinh doanh cơ sở hạ tầng, xây dựng nhà để bán, chuyển nhượng hoặc cho thuê, giá tính thuế giá trị gia tăng là số tiền thu được theo tiến độ thực hiện dự án hoặc tiến độ thu tiền ghi trong hợp đồng trừ (-) giá đất được trừ quy định ở các khoản 1, 2, 3, 4 Điều này tương ứng với tỷ lệ % số tiền thu được trên tổng giá trị hợp đồng.</w:t>
      </w:r>
    </w:p>
    <w:p>
      <w:pPr>
        <w:bidi w:val="0"/>
        <w:spacing w:before="120" w:beforeAutospacing="0" w:after="280" w:afterAutospacing="1"/>
      </w:pPr>
      <w:r>
        <w:rPr>
          <w:rtl w:val="0"/>
        </w:rPr>
        <w:t>6. Trường hợp cơ sở kinh doanh xây dựng nhà nhiều tầng nhiều hộ ở, nhà chung cư để bán thì giá đất được trừ tính cho 01 m² nhà để bán được xác định bằng giá đất được trừ theo quy định ở các khoản 1, 2, 3, 4 Điều này chia (:) số m² sàn xây dựng không bao gồm diện tích dùng chung như hành lang, cầu thang, tầng hầm, công trình xây dựng dưới mặt đất.</w:t>
      </w:r>
    </w:p>
    <w:p>
      <w:pPr>
        <w:bidi w:val="0"/>
        <w:spacing w:before="120" w:beforeAutospacing="0" w:after="280" w:afterAutospacing="1"/>
      </w:pPr>
      <w:r>
        <w:rPr>
          <w:rtl w:val="0"/>
        </w:rPr>
        <w:t>7. Trường hợp cơ sở kinh doanh nhận chuyển nhượng bất động sản, nhận góp vốn bằng quyền sử dụng đất của tổ chức, cá nhân quy định tại khoản 2, khoản 3 Điều này không xác định được tiền sử dụng đất hoặc tiền thuê đất nộp ngân sách nhà nước thì giá tính thuế giá trị gia tăng là giá chuyển nhượng chưa có thuế giá trị gia tăng.</w:t>
      </w:r>
    </w:p>
    <w:p>
      <w:pPr>
        <w:bidi w:val="0"/>
        <w:spacing w:before="120" w:beforeAutospacing="0" w:after="280" w:afterAutospacing="1"/>
      </w:pPr>
      <w:bookmarkStart w:id="69" w:name="dieu_9"/>
      <w:r>
        <w:rPr>
          <w:b/>
          <w:bCs/>
          <w:rtl w:val="0"/>
        </w:rPr>
        <w:t>Điều 9. Giá tính thuế đối với hoạt động đại lý, môi giới mua bán hàng hóa, dịch vụ hưởng hoa hồng và hàng hóa, dịch vụ được sử dụng hóa đơn thanh toán ghi giá thanh toán</w:t>
      </w:r>
      <w:bookmarkEnd w:id="69"/>
    </w:p>
    <w:p>
      <w:pPr>
        <w:bidi w:val="0"/>
        <w:spacing w:before="120" w:beforeAutospacing="0" w:after="280" w:afterAutospacing="1"/>
      </w:pPr>
      <w:bookmarkStart w:id="70" w:name="khoan_1_9"/>
      <w:r>
        <w:rPr>
          <w:rtl w:val="0"/>
        </w:rPr>
        <w:t>1. Đối với hoạt động đại lý, môi giới mua bán hàng hóa và dịch vụ hưởng hoa hồng là tiền hoa hồng thu được từ các hoạt động này chưa có thuế giá trị gia tăng, trừ trường hợp không phải tính thuế giá trị gia tăng gồm:</w:t>
      </w:r>
      <w:bookmarkEnd w:id="70"/>
    </w:p>
    <w:p>
      <w:pPr>
        <w:bidi w:val="0"/>
        <w:spacing w:before="120" w:beforeAutospacing="0" w:after="280" w:afterAutospacing="1"/>
      </w:pPr>
      <w:r>
        <w:rPr>
          <w:rtl w:val="0"/>
        </w:rPr>
        <w:t>a) Doanh thu hàng hóa, dịch vụ nhận bán đại lý và doanh thu hoa hồng được hưởng từ hoạt động đại lý bán đúng giá quy định của bên giao đại lý hưởng hoa hồng của dịch vụ: bưu chính, viễn thông, bán vé xổ số, vé máy bay, ô tô, tàu hỏa, tàu thủy; đại lý vận tải quốc tế; đại lý của các dịch vụ ngành hàng không, hàng hải mà được áp dụng thuế suất thuế giá trị gia tăng 0%; đại lý bán bảo hiểm.</w:t>
      </w:r>
    </w:p>
    <w:p>
      <w:pPr>
        <w:bidi w:val="0"/>
        <w:spacing w:before="120" w:beforeAutospacing="0" w:after="280" w:afterAutospacing="1"/>
      </w:pPr>
      <w:bookmarkStart w:id="71" w:name="diem_b_1_9"/>
      <w:r>
        <w:rPr>
          <w:rtl w:val="0"/>
        </w:rPr>
        <w:t>b) Doanh thu hàng hóa, dịch vụ và doanh thu hoa hồng đại lý được hưởng từ hoạt động đại lý bán hàng hóa, dịch vụ thuộc diện không chịu thuế giá trị gia tăng.</w:t>
      </w:r>
      <w:bookmarkEnd w:id="71"/>
    </w:p>
    <w:p>
      <w:pPr>
        <w:bidi w:val="0"/>
        <w:spacing w:before="120" w:beforeAutospacing="0" w:after="280" w:afterAutospacing="1"/>
      </w:pPr>
      <w:bookmarkStart w:id="72" w:name="khoan_2_9"/>
      <w:r>
        <w:rPr>
          <w:rtl w:val="0"/>
        </w:rPr>
        <w:t>2. Đối với hàng hóa, dịch vụ được sử dụng hóa đơn thanh toán ghi giá thanh toán là giá đã có thuế giá trị gia tăng thì giá tính thuế được xác định theo công thức sau:</w:t>
      </w:r>
      <w:bookmarkEnd w:id="72"/>
    </w:p>
    <w:tbl>
      <w:tblPr>
        <w:tblW w:w="4410" w:type="pct"/>
        <w:jc w:val="left"/>
        <w:tblCellMar>
          <w:top w:w="0" w:type="dxa"/>
          <w:left w:w="0" w:type="dxa"/>
          <w:bottom w:w="0" w:type="dxa"/>
          <w:right w:w="0" w:type="dxa"/>
        </w:tblCellMar>
      </w:tblPr>
      <w:tblGrid>
        <w:gridCol w:w="3118"/>
        <w:gridCol w:w="363"/>
        <w:gridCol w:w="4140"/>
      </w:tblGrid>
      <w:tr>
        <w:tblPrEx>
          <w:tblW w:w="4410" w:type="pct"/>
          <w:jc w:val="left"/>
          <w:tblCellMar>
            <w:top w:w="0" w:type="dxa"/>
            <w:left w:w="0" w:type="dxa"/>
            <w:bottom w:w="0" w:type="dxa"/>
            <w:right w:w="0" w:type="dxa"/>
          </w:tblCellMar>
        </w:tblPrEx>
        <w:trPr>
          <w:jc w:val="left"/>
        </w:trPr>
        <w:tc>
          <w:tcPr>
            <w:tcW w:w="2046"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chưa có thuế giá trị gia tăng</w:t>
            </w:r>
          </w:p>
        </w:tc>
        <w:tc>
          <w:tcPr>
            <w:tcW w:w="238"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717"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thanh toán</w:t>
            </w:r>
          </w:p>
        </w:tc>
      </w:tr>
      <w:tr>
        <w:tblPrEx>
          <w:tblW w:w="441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717"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thuế suất của hàng hóa, dịch vụ (%)</w:t>
            </w:r>
          </w:p>
        </w:tc>
      </w:tr>
    </w:tbl>
    <w:p>
      <w:pPr>
        <w:bidi w:val="0"/>
        <w:spacing w:before="120" w:beforeAutospacing="0" w:after="280" w:afterAutospacing="1"/>
      </w:pPr>
      <w:bookmarkStart w:id="73" w:name="dieu_10"/>
      <w:r>
        <w:rPr>
          <w:b/>
          <w:bCs/>
          <w:rtl w:val="0"/>
        </w:rPr>
        <w:t>Điều 10. Giá tính thuế đối với dịch vụ kinh doanh ca-si-nô, trò chơi điện tử có thưởng và dịch vụ kinh doanh đặt cược</w:t>
      </w:r>
      <w:bookmarkEnd w:id="73"/>
    </w:p>
    <w:p>
      <w:pPr>
        <w:bidi w:val="0"/>
        <w:spacing w:before="120" w:beforeAutospacing="0" w:after="280" w:afterAutospacing="1"/>
      </w:pPr>
      <w:r>
        <w:rPr>
          <w:rtl w:val="0"/>
        </w:rPr>
        <w:t>1. Đối với dịch vụ kinh doanh ca-si-nô, trò chơi điện tử có thưởng là số tiền thu được từ hoạt động này trừ số tiền đã đổi trả cho khách không sử dụng hết và số tiền trả thưởng cho khách (nếu có), đã có thuế tiêu thụ đặc biệt, chưa có thuế giá trị gia tăng. Trong đó, số tiền thu được là số tiền thu từ đổi đồng tiền quy ước cho người chơi tại quầy, tại bàn chơi và số tiền thu tại máy trò chơi điện tử có thưởng.</w:t>
      </w:r>
    </w:p>
    <w:p>
      <w:pPr>
        <w:bidi w:val="0"/>
        <w:spacing w:before="120" w:beforeAutospacing="0" w:after="280" w:afterAutospacing="1"/>
      </w:pPr>
      <w:r>
        <w:rPr>
          <w:rtl w:val="0"/>
        </w:rPr>
        <w:t>2. Đối với dịch vụ kinh doanh đặt cược là số tiền thu được từ bán vé đặt cược trừ số tiền đã trả thưởng cho khách (nếu có), đã có thuế tiêu thụ đặc biệt, chưa có thuế giá trị gia tăng.</w:t>
      </w:r>
    </w:p>
    <w:p>
      <w:pPr>
        <w:bidi w:val="0"/>
        <w:spacing w:before="120" w:beforeAutospacing="0" w:after="280" w:afterAutospacing="1"/>
      </w:pPr>
      <w:bookmarkStart w:id="74" w:name="dieu_11"/>
      <w:r>
        <w:rPr>
          <w:b/>
          <w:bCs/>
          <w:rtl w:val="0"/>
        </w:rPr>
        <w:t>Điều 11. Giá tính thuế đối với một số hoạt động sản xuất, kinh doanh khác</w:t>
      </w:r>
      <w:bookmarkEnd w:id="74"/>
    </w:p>
    <w:p>
      <w:pPr>
        <w:bidi w:val="0"/>
        <w:spacing w:before="120" w:beforeAutospacing="0" w:after="280" w:afterAutospacing="1"/>
      </w:pPr>
      <w:r>
        <w:rPr>
          <w:rtl w:val="0"/>
        </w:rPr>
        <w:t>Đối với các hoạt động sản xuất, kinh doanh gồm: hoạt động sản xuất điện của Tập đoàn Điện lực Việt Nam; vận tải, bốc xếp; dịch vụ du lịch theo hình thức lữ hành; dịch vụ cầm đồ; sách chịu thuế giá trị gia tăng bán theo đúng giá phát hành (giá bìa); hoạt động in; dịch vụ đại lý giám định, đại lý xét bồi thường, đại lý đòi người thứ ba bồi hoàn, đại lý xử lý hàng bồi thường 100% hưởng tiền công hoặc tiền hoa hồng thì giá tính thuế là giá bán chưa có thuế giá trị gia tăng. Trong đó:</w:t>
      </w:r>
    </w:p>
    <w:p>
      <w:pPr>
        <w:bidi w:val="0"/>
        <w:spacing w:before="120" w:beforeAutospacing="0" w:after="280" w:afterAutospacing="1"/>
      </w:pPr>
      <w:r>
        <w:rPr>
          <w:rtl w:val="0"/>
        </w:rPr>
        <w:t>1. Đối với hoạt động sản xuất điện của Tập đoàn Điện lực Việt Nam:</w:t>
      </w:r>
    </w:p>
    <w:p>
      <w:pPr>
        <w:bidi w:val="0"/>
        <w:spacing w:before="120" w:beforeAutospacing="0" w:after="280" w:afterAutospacing="1"/>
      </w:pPr>
      <w:r>
        <w:rPr>
          <w:rtl w:val="0"/>
        </w:rPr>
        <w:t>a) Đối với điện của các công ty thủy điện hạch toán phụ thuộc Tập đoàn Điện lực Việt Nam, hạch toán phụ thuộc các Tổng công ty phát điện, giá tính thuế giá trị gia tăng để xác định số thuế giá trị gia tăng nộp tại địa phương nơi có nhà máy thủy điện được tính bằng 35% giá bán lẻ điện bình quân chưa bao gồm thuế giá trị gia tăng theo quy định của pháp luật điện lực và pháp luật giá.</w:t>
      </w:r>
    </w:p>
    <w:p>
      <w:pPr>
        <w:bidi w:val="0"/>
        <w:spacing w:before="120" w:beforeAutospacing="0" w:after="280" w:afterAutospacing="1"/>
      </w:pPr>
      <w:r>
        <w:rPr>
          <w:rtl w:val="0"/>
        </w:rPr>
        <w:t>b) Đối với điện của các công ty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nhiệt điện là giá bán điện cho khách hàng ghi trên hóa đơn theo hợp đồng mua bán điện áp dụng cho từng nhà máy nhiệt điện. Trường hợp chưa có hợp đồng mua bán điện áp dụng cho từng nhà máy nhiệt điện thì giá tính thuế giá trị gia tăng được xác định là giá bán lẻ điện bình quân chưa bao gồm thuế giá trị gia tăng theo quy định của pháp luật điện lực và pháp luật giá.</w:t>
      </w:r>
    </w:p>
    <w:p>
      <w:pPr>
        <w:bidi w:val="0"/>
        <w:spacing w:before="120" w:beforeAutospacing="0" w:after="280" w:afterAutospacing="1"/>
      </w:pPr>
      <w:r>
        <w:rPr>
          <w:rtl w:val="0"/>
        </w:rPr>
        <w:t>c) Đối với điện của các công ty sản xuất điện (trừ thủy điện, nhiệt điện) hạch toán phụ thuộc Tập đoàn Điện lực Việt Nam, hạch toán phụ thuộc các Tổng công ty phát điện, giá tính thuế giá trị gia tăng để xác định số thuế giá trị gia tăng nộp tại địa phương nơi có nhà máy sản xuất điện là giá bán điện chưa có thuế giá trị gia tăng do cơ quan nhà nước có thẩm quyền quy định cho từng loại hình phát điện. Trường hợp chưa có giá bán điện do cơ quan nhà nước có thẩm quyền quy định cho từng loại hình phát điện nêu tại điểm này thì giá tính thuế giá trị gia tăng được xác định là giá bán lẻ điện bình quân chưa bao gồm thuế giá trị gia tăng theo quy định của pháp luật điện lực và pháp luật giá.</w:t>
      </w:r>
    </w:p>
    <w:p>
      <w:pPr>
        <w:bidi w:val="0"/>
        <w:spacing w:before="120" w:beforeAutospacing="0" w:after="280" w:afterAutospacing="1"/>
      </w:pPr>
      <w:r>
        <w:rPr>
          <w:rtl w:val="0"/>
        </w:rPr>
        <w:t>2. Đối với vận tải, bốc xếp là giá cước vận tải, bốc xếp chưa có thuế giá trị gia tăng, không phân biệt cơ sở trực tiếp vận tải, bốc xếp hay thuê lại.</w:t>
      </w:r>
    </w:p>
    <w:p>
      <w:pPr>
        <w:bidi w:val="0"/>
        <w:spacing w:before="120" w:beforeAutospacing="0" w:after="280" w:afterAutospacing="1"/>
      </w:pPr>
      <w:r>
        <w:rPr>
          <w:rtl w:val="0"/>
        </w:rPr>
        <w:t>3. Đối với dịch vụ du lịch theo hình thức lữ hành, hợp đồng ký với khách hàng theo giá trọn gói (ăn, ở, đi lại) thì giá trọn gói được xác định là giá đã có thuế giá trị gia tăng.</w:t>
      </w:r>
    </w:p>
    <w:p>
      <w:pPr>
        <w:bidi w:val="0"/>
        <w:spacing w:before="120" w:beforeAutospacing="0" w:after="280" w:afterAutospacing="1"/>
      </w:pPr>
      <w:r>
        <w:rPr>
          <w:rtl w:val="0"/>
        </w:rPr>
        <w:t>Giá tính thuế được xác định theo công thức sau:</w:t>
      </w:r>
    </w:p>
    <w:tbl>
      <w:tblPr>
        <w:tblW w:w="4167" w:type="pct"/>
        <w:jc w:val="left"/>
        <w:tblCellMar>
          <w:top w:w="0" w:type="dxa"/>
          <w:left w:w="0" w:type="dxa"/>
          <w:bottom w:w="0" w:type="dxa"/>
          <w:right w:w="0" w:type="dxa"/>
        </w:tblCellMar>
      </w:tblPr>
      <w:tblGrid>
        <w:gridCol w:w="2520"/>
        <w:gridCol w:w="960"/>
        <w:gridCol w:w="3720"/>
      </w:tblGrid>
      <w:tr>
        <w:tblPrEx>
          <w:tblW w:w="4167" w:type="pct"/>
          <w:jc w:val="left"/>
          <w:tblCellMar>
            <w:top w:w="0" w:type="dxa"/>
            <w:left w:w="0" w:type="dxa"/>
            <w:bottom w:w="0" w:type="dxa"/>
            <w:right w:w="0" w:type="dxa"/>
          </w:tblCellMar>
        </w:tblPrEx>
        <w:trPr>
          <w:jc w:val="left"/>
        </w:trPr>
        <w:tc>
          <w:tcPr>
            <w:tcW w:w="1750"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tính thuế</w:t>
            </w:r>
          </w:p>
        </w:tc>
        <w:tc>
          <w:tcPr>
            <w:tcW w:w="667"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584"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trọn gói</w:t>
            </w:r>
          </w:p>
        </w:tc>
      </w:tr>
      <w:tr>
        <w:tblPrEx>
          <w:tblW w:w="4167"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584"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thuế suất</w:t>
            </w:r>
          </w:p>
        </w:tc>
      </w:tr>
    </w:tbl>
    <w:p>
      <w:pPr>
        <w:bidi w:val="0"/>
        <w:spacing w:before="120" w:beforeAutospacing="0" w:after="280" w:afterAutospacing="1"/>
      </w:pPr>
      <w:r>
        <w:rPr>
          <w:rtl w:val="0"/>
        </w:rPr>
        <w:t>Trường hợp giá trọn gói bao gồm cả các khoản chi vé máy bay vận chuyển khách du lịch từ nước ngoài vào Việt Nam, từ Việt Nam đi nước ngoài, các chi phí ăn, nghỉ, thăm quan và một số khoản chi ở nước ngoài khác (nếu có chứng từ hợp pháp) thì các khoản thu của khách hàng để chi cho các khoản trên được tính giảm trừ trong giá (doanh thu) tính thuế giá trị gia tăng. Thuế giá trị gia tăng đầu vào phục vụ hoạt động du lịch trọn gói được khấu trừ toàn bộ theo quy định.</w:t>
      </w:r>
    </w:p>
    <w:p>
      <w:pPr>
        <w:bidi w:val="0"/>
        <w:spacing w:before="120" w:beforeAutospacing="0" w:after="280" w:afterAutospacing="1"/>
      </w:pPr>
      <w:r>
        <w:rPr>
          <w:rtl w:val="0"/>
        </w:rPr>
        <w:t>4. Đối với dịch vụ cầm đồ giá tính thuế giá trị gia tăng là số tiền phải thu từ dịch vụ này chưa có thuế giá trị gia tăng, số tiền phải thu từ dịch vụ này bao gồm tiền lãi phải thu từ cho vay cầm đồ và khoản thu khác phát sinh từ việc bán hàng cầm đồ (nếu có). Trường hợp số tiền thu từ dịch vụ này đã bao gồm thuế giá trị gia tăng thì giá tính thuế được xác định theo công thức sau:</w:t>
      </w:r>
    </w:p>
    <w:tbl>
      <w:tblPr>
        <w:tblW w:w="4167" w:type="pct"/>
        <w:jc w:val="left"/>
        <w:tblCellMar>
          <w:top w:w="0" w:type="dxa"/>
          <w:left w:w="0" w:type="dxa"/>
          <w:bottom w:w="0" w:type="dxa"/>
          <w:right w:w="0" w:type="dxa"/>
        </w:tblCellMar>
      </w:tblPr>
      <w:tblGrid>
        <w:gridCol w:w="3118"/>
        <w:gridCol w:w="361"/>
        <w:gridCol w:w="3721"/>
      </w:tblGrid>
      <w:tr>
        <w:tblPrEx>
          <w:tblW w:w="4167" w:type="pct"/>
          <w:jc w:val="left"/>
          <w:tblCellMar>
            <w:top w:w="0" w:type="dxa"/>
            <w:left w:w="0" w:type="dxa"/>
            <w:bottom w:w="0" w:type="dxa"/>
            <w:right w:w="0" w:type="dxa"/>
          </w:tblCellMar>
        </w:tblPrEx>
        <w:trPr>
          <w:jc w:val="left"/>
        </w:trPr>
        <w:tc>
          <w:tcPr>
            <w:tcW w:w="2165"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Giá tính thuế</w:t>
            </w:r>
          </w:p>
        </w:tc>
        <w:tc>
          <w:tcPr>
            <w:tcW w:w="251" w:type="pct"/>
            <w:vMerge w:val="restar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w:t>
            </w:r>
          </w:p>
        </w:tc>
        <w:tc>
          <w:tcPr>
            <w:tcW w:w="2584"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Số tiền phải thu</w:t>
            </w:r>
          </w:p>
        </w:tc>
      </w:tr>
      <w:tr>
        <w:tblPrEx>
          <w:tblW w:w="4167"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jc w:val="center"/>
            </w:pPr>
          </w:p>
        </w:tc>
        <w:tc>
          <w:tcPr>
            <w:tcW w:w="0" w:type="auto"/>
            <w:vMerge/>
            <w:shd w:val="clear" w:color="auto" w:fill="auto"/>
            <w:vAlign w:val="center"/>
          </w:tcPr>
          <w:p>
            <w:pPr>
              <w:bidi w:val="0"/>
              <w:spacing w:before="120" w:beforeAutospacing="0" w:after="0" w:afterAutospacing="0"/>
              <w:jc w:val="center"/>
            </w:pPr>
          </w:p>
        </w:tc>
        <w:tc>
          <w:tcPr>
            <w:tcW w:w="2584"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1 + thuế suất</w:t>
            </w:r>
          </w:p>
        </w:tc>
      </w:tr>
    </w:tbl>
    <w:p>
      <w:pPr>
        <w:bidi w:val="0"/>
        <w:spacing w:before="120" w:beforeAutospacing="0" w:after="280" w:afterAutospacing="1"/>
      </w:pPr>
      <w:r>
        <w:rPr>
          <w:rtl w:val="0"/>
        </w:rPr>
        <w:t xml:space="preserve">5. Đối với sách chịu thuế giá trị gia tăng bán theo đúng giá phát hành (giá bìa) theo quy định của </w:t>
      </w:r>
      <w:bookmarkStart w:id="75" w:name="tvpllink_knljrggmct"/>
      <w:r>
        <w:rPr>
          <w:rtl w:val="0"/>
        </w:rPr>
        <w:t>Luật Xuất bản</w:t>
      </w:r>
      <w:bookmarkEnd w:id="75"/>
      <w:r>
        <w:rPr>
          <w:rtl w:val="0"/>
        </w:rPr>
        <w:t xml:space="preserve"> thì giá bán đó được xác định là giá đã có thuế giá trị gia tăng. Các trường hợp bán không theo giá bìa thì thuế giá trị gia tăng tính trên giá bán ra chưa có thuế giá trị gia tăng.</w:t>
      </w:r>
    </w:p>
    <w:p>
      <w:pPr>
        <w:bidi w:val="0"/>
        <w:spacing w:before="120" w:beforeAutospacing="0" w:after="280" w:afterAutospacing="1"/>
      </w:pPr>
      <w:r>
        <w:rPr>
          <w:rtl w:val="0"/>
        </w:rPr>
        <w:t>6. Đối với hoạt động in, giá tính thuế là tiền công in chưa có thuế giá trị gia tăng. Trường hợp cơ sở in thực hiện các hợp đồng in, giá thanh toán bao gồm cả tiền công in và tiền giấy in thì giá tính thuế bao gồm cả tiền công in và giấy in chưa có thuế giá trị gia tăng.</w:t>
      </w:r>
    </w:p>
    <w:p>
      <w:pPr>
        <w:bidi w:val="0"/>
        <w:spacing w:before="120" w:beforeAutospacing="0" w:after="280" w:afterAutospacing="1"/>
      </w:pPr>
      <w:r>
        <w:rPr>
          <w:rtl w:val="0"/>
        </w:rPr>
        <w:t>7. Đối với dịch vụ đại lý giám định, đại lý xét bồi thường, đại lý đòi người thứ ba bồi hoàn, đại lý xử lý hàng bồi thường 100% có hưởng tiền công hoặc tiền hoa hồng thì giá tính thuế giá trị gia tăng là tiền công hoặc tiền hoa hồng được hưởng chưa có thuế giá trị gia tăng.</w:t>
      </w:r>
    </w:p>
    <w:p>
      <w:pPr>
        <w:bidi w:val="0"/>
        <w:spacing w:before="120" w:beforeAutospacing="0" w:after="280" w:afterAutospacing="1"/>
      </w:pPr>
      <w:bookmarkStart w:id="76" w:name="dieu_12"/>
      <w:r>
        <w:rPr>
          <w:b/>
          <w:bCs/>
          <w:rtl w:val="0"/>
        </w:rPr>
        <w:t>Điều 12. Giá tính thuế đối với dịch vụ viễn thông quốc tế</w:t>
      </w:r>
      <w:bookmarkEnd w:id="76"/>
    </w:p>
    <w:p>
      <w:pPr>
        <w:bidi w:val="0"/>
        <w:spacing w:before="120" w:beforeAutospacing="0" w:after="280" w:afterAutospacing="1"/>
      </w:pPr>
      <w:r>
        <w:rPr>
          <w:rtl w:val="0"/>
        </w:rPr>
        <w:t>Đối với dịch vụ viễn thông quốc tế giá tính thuế giá trị gia tăng là giá cung cấp dịch vụ viễn thông quốc tế chưa có thuế giá trị gia tăng; trường hợp cơ sở kinh doanh có phát sinh dịch vụ kết nối với mạng viễn thông tại nước ngoài thì giá tính thuế giá trị gia tăng được trừ đi các khoản thu của khách hàng để trả khoản phí kết nối. Cơ sở kinh doanh phải tách riêng khoản phí kết nối với mạng viễn thông tại nước ngoài để xác định giá tính thuế giá trị gia tăng; trường hợp không tách riêng được thì giá tính thuế giá trị gia tăng là toàn bộ giá trị hợp đồng chưa có thuế giá trị gia tăng.</w:t>
      </w:r>
    </w:p>
    <w:p>
      <w:pPr>
        <w:bidi w:val="0"/>
        <w:spacing w:before="120" w:beforeAutospacing="0" w:after="280" w:afterAutospacing="1"/>
      </w:pPr>
      <w:bookmarkStart w:id="77" w:name="dieu_13"/>
      <w:r>
        <w:rPr>
          <w:b/>
          <w:bCs/>
          <w:rtl w:val="0"/>
        </w:rPr>
        <w:t>Điều 13. Giá tính thuế đối với dịch vụ do tổ chức nước ngoài, cá nhân ở nước ngoài cung cấp</w:t>
      </w:r>
      <w:bookmarkEnd w:id="77"/>
    </w:p>
    <w:p>
      <w:pPr>
        <w:bidi w:val="0"/>
        <w:spacing w:before="120" w:beforeAutospacing="0" w:after="280" w:afterAutospacing="1"/>
      </w:pPr>
      <w:r>
        <w:rPr>
          <w:rtl w:val="0"/>
        </w:rPr>
        <w:t xml:space="preserve">Đối với dịch vụ do tổ chức nước ngoài không có cơ sở thường trú tại Việt Nam, cá nhân ở nước ngoài là đối tượng không cư trú tại Việt Nam (sau đây gọi chung là Nhà thầu nước ngoài, Nhà thầu phụ nước ngoài) có doanh thu phát sinh tại Việt Nam chưa thực hiện đầy đủ chế độ kế toán, hóa đơn, chứng từ, không bao gồm các nhà cung cấp nước ngoài quy định tại </w:t>
      </w:r>
      <w:bookmarkStart w:id="78" w:name="dc_18"/>
      <w:r>
        <w:rPr>
          <w:rtl w:val="0"/>
        </w:rPr>
        <w:t>khoản 4 Điều 4 của Luật Thuế giá trị gia tăng</w:t>
      </w:r>
      <w:bookmarkEnd w:id="78"/>
      <w:r>
        <w:rPr>
          <w:rtl w:val="0"/>
        </w:rPr>
        <w:t xml:space="preserve"> thì giá tính thuế giá trị gia tăng là toàn bộ doanh thu do cung cấp dịch vụ, dịch vụ gắn với hàng hóa thuộc đối tượng chịu thuế giá trị gia tăng mà Nhà thầu nước ngoài, Nhà thầu phụ nước ngoài nhận được, chưa trừ các khoản thuế phải nộp, kể cả các khoản chi phí do Bên Việt Nam trả thay Nhà thầu nước ngoài, Nhà thầu phụ nước ngoài (nếu có). Bộ Tài chính quy định chi tiết Điều này.</w:t>
      </w:r>
    </w:p>
    <w:p>
      <w:pPr>
        <w:bidi w:val="0"/>
        <w:spacing w:before="120" w:beforeAutospacing="0" w:after="280" w:afterAutospacing="1"/>
      </w:pPr>
      <w:bookmarkStart w:id="79" w:name="dieu_14"/>
      <w:r>
        <w:rPr>
          <w:b/>
          <w:bCs/>
          <w:rtl w:val="0"/>
        </w:rPr>
        <w:t>Điều 14. Nguyên tắc xác định giá tính thuế giá trị gia tăng</w:t>
      </w:r>
      <w:bookmarkEnd w:id="79"/>
    </w:p>
    <w:p>
      <w:pPr>
        <w:bidi w:val="0"/>
        <w:spacing w:before="120" w:beforeAutospacing="0" w:after="280" w:afterAutospacing="1"/>
      </w:pPr>
      <w:bookmarkStart w:id="80" w:name="khoan_1_14"/>
      <w:r>
        <w:rPr>
          <w:rtl w:val="0"/>
        </w:rPr>
        <w:t>1. Giá tính thuế đối với các loại hàng hóa, dịch vụ quy định tại Mục này:</w:t>
      </w:r>
      <w:bookmarkEnd w:id="80"/>
    </w:p>
    <w:p>
      <w:pPr>
        <w:bidi w:val="0"/>
        <w:spacing w:before="120" w:beforeAutospacing="0" w:after="280" w:afterAutospacing="1"/>
      </w:pPr>
      <w:r>
        <w:rPr>
          <w:rtl w:val="0"/>
        </w:rPr>
        <w:t>a) Bao gồm cả khoản phụ thu và phí thu thêm ngoài giá hàng hóa, dịch vụ mà cơ sở kinh doanh được hưởng.</w:t>
      </w:r>
    </w:p>
    <w:p>
      <w:pPr>
        <w:bidi w:val="0"/>
        <w:spacing w:before="120" w:beforeAutospacing="0" w:after="280" w:afterAutospacing="1"/>
      </w:pPr>
      <w:r>
        <w:rPr>
          <w:rtl w:val="0"/>
        </w:rPr>
        <w:t>b) Không bao gồm các khoản thu không liên quan đến bán hàng hóa, cung cấp dịch vụ của cơ sở kinh doanh: các khoản thu về bồi thường bằng tiền (bao gồm cả tiền bồi thường về đất và tài sản trên đất khi bị thu hồi đất theo quyết định của cơ quan nhà nước có thẩm quyền), tiền thưởng, thu đòi người thứ ba của hoạt động bảo hiểm, các khoản thu hộ, các khoản thù lao từ cơ quan nhà nước do thực hiện hoạt động thu hộ, chi hộ các cơ quan nhà nước, các khoản thu tài chính.</w:t>
      </w:r>
    </w:p>
    <w:p>
      <w:pPr>
        <w:bidi w:val="0"/>
        <w:spacing w:before="120" w:beforeAutospacing="0" w:after="280" w:afterAutospacing="1"/>
      </w:pPr>
      <w:r>
        <w:rPr>
          <w:rtl w:val="0"/>
        </w:rPr>
        <w:t>2. Trường hợp cơ sở kinh doanh áp dụng hình thức chiết khấu thương mại dành cho khách hàng (nếu có) thì giá tính thuế giá trị gia tăng là giá bán đã chiết khấu thương mại dành cho khách hàng chưa có thuế giá trị gia tăng.</w:t>
      </w:r>
    </w:p>
    <w:p>
      <w:pPr>
        <w:bidi w:val="0"/>
        <w:spacing w:before="120" w:beforeAutospacing="0" w:after="280" w:afterAutospacing="1"/>
      </w:pPr>
      <w:r>
        <w:rPr>
          <w:rtl w:val="0"/>
        </w:rPr>
        <w:t>3. Trường hợp cơ sở kinh doanh đã tính thuế giá trị gia tăng nhưng giá tính thuế bị thay đổi theo kết luận của cơ quan nhà nước có thẩm quyền theo quy định của pháp luật có liên quan thì giá tính thuế được xác định theo kết luận của cơ quan nhà nước có thẩm quyền.</w:t>
      </w:r>
    </w:p>
    <w:p>
      <w:pPr>
        <w:bidi w:val="0"/>
        <w:spacing w:before="120" w:beforeAutospacing="0" w:after="280" w:afterAutospacing="1"/>
      </w:pPr>
      <w:bookmarkStart w:id="81" w:name="muc_2"/>
      <w:r>
        <w:rPr>
          <w:b/>
          <w:bCs/>
          <w:rtl w:val="0"/>
        </w:rPr>
        <w:t>Mục 2. THỜI ĐIỂM XÁC ĐỊNH THUẾ GIÁ TRỊ GIA TĂNG</w:t>
      </w:r>
      <w:bookmarkEnd w:id="81"/>
    </w:p>
    <w:p>
      <w:pPr>
        <w:bidi w:val="0"/>
        <w:spacing w:before="120" w:beforeAutospacing="0" w:after="280" w:afterAutospacing="1"/>
      </w:pPr>
      <w:bookmarkStart w:id="82" w:name="dieu_15"/>
      <w:r>
        <w:rPr>
          <w:b/>
          <w:bCs/>
          <w:rtl w:val="0"/>
        </w:rPr>
        <w:t>Điều 15. Thời điểm xác định thuế giá trị gia tăng đối với hàng hóa xuất khẩu, hàng hóa nhập khẩu</w:t>
      </w:r>
      <w:bookmarkEnd w:id="82"/>
    </w:p>
    <w:p>
      <w:pPr>
        <w:bidi w:val="0"/>
        <w:spacing w:before="120" w:beforeAutospacing="0" w:after="280" w:afterAutospacing="1"/>
      </w:pPr>
      <w:r>
        <w:rPr>
          <w:rtl w:val="0"/>
        </w:rPr>
        <w:t>1. Đối với hàng hóa xuất khẩu, thời điểm xác định thuế giá trị gia tăng do người bán tự xác định nhưng chậm nhất không quá ngày làm việc tiếp theo kể từ ngày hàng hóa được thông quan theo quy định của pháp luật về hải quan.</w:t>
      </w:r>
    </w:p>
    <w:p>
      <w:pPr>
        <w:bidi w:val="0"/>
        <w:spacing w:before="120" w:beforeAutospacing="0" w:after="280" w:afterAutospacing="1"/>
      </w:pPr>
      <w:r>
        <w:rPr>
          <w:rtl w:val="0"/>
        </w:rPr>
        <w:t>2. Đối với hàng hóa nhập khẩu, thời điểm xác định thuế giá trị gia tăng là thời điểm xác định thuế nhập khẩu theo quy định của pháp luật về thuế xuất khẩu, thuế nhập khẩu.</w:t>
      </w:r>
    </w:p>
    <w:p>
      <w:pPr>
        <w:bidi w:val="0"/>
        <w:spacing w:before="120" w:beforeAutospacing="0" w:after="280" w:afterAutospacing="1"/>
      </w:pPr>
      <w:bookmarkStart w:id="83" w:name="dieu_16"/>
      <w:r>
        <w:rPr>
          <w:b/>
          <w:bCs/>
          <w:rtl w:val="0"/>
        </w:rPr>
        <w:t>Điều 16. Thời điểm xác định thuế giá trị gia tăng đối với một số hàng hóa, dịch vụ khác</w:t>
      </w:r>
      <w:bookmarkEnd w:id="83"/>
    </w:p>
    <w:p>
      <w:pPr>
        <w:bidi w:val="0"/>
        <w:spacing w:before="120" w:beforeAutospacing="0" w:after="280" w:afterAutospacing="1"/>
      </w:pPr>
      <w:bookmarkStart w:id="84" w:name="khoan_1_16"/>
      <w:r>
        <w:rPr>
          <w:rtl w:val="0"/>
        </w:rPr>
        <w:t>1. Đối với dịch vụ viễn thông (bao gồm cả dịch vụ viễn thông giá trị gia tăng):</w:t>
      </w:r>
      <w:bookmarkEnd w:id="84"/>
    </w:p>
    <w:p>
      <w:pPr>
        <w:bidi w:val="0"/>
        <w:spacing w:before="120" w:beforeAutospacing="0" w:after="280" w:afterAutospacing="1"/>
      </w:pPr>
      <w:r>
        <w:rPr>
          <w:rtl w:val="0"/>
        </w:rPr>
        <w:t>a) Đối với dịch vụ viễn thông (bao gồm cả dịch vụ viễn thông giá trị gia tăng) phải thực hiện đối soát dữ liệu kết nối giữa các cơ sở kinh doanh dịch vụ, thời điểm xác định thuế giá trị gia tăng là thời điểm hoàn thành việc đối soát dữ liệu về cước dịch vụ theo hợp đồng kinh tế giữa các cơ sở kinh doanh dịch vụ nhưng chậm nhất không quá 02 tháng kể từ tháng phát sinh cước dịch vụ kết nối.</w:t>
      </w:r>
    </w:p>
    <w:p>
      <w:pPr>
        <w:bidi w:val="0"/>
        <w:spacing w:before="120" w:beforeAutospacing="0" w:after="280" w:afterAutospacing="1"/>
      </w:pPr>
      <w:r>
        <w:rPr>
          <w:rtl w:val="0"/>
        </w:rPr>
        <w:t>b) Đối với dịch vụ viễn thông (bao gồm cả dịch vụ viễn thông giá trị gia tăng) được cung cấp theo kỳ nhất định, thời điểm xác định thuế giá trị gia tăng là thời điểm hoàn thành việc đối soát dữ liệu giữa các bên (trừ trường hợp nêu tại điểm a khoản này) nhưng chậm nhất không quá ngày 07 của tháng sau tháng phát sinh việc cung cấp dịch vụ hoặc không quá 07 ngày kể từ ngày kết thúc kỳ quy ước. Kỳ quy ước để làm căn cứ tính lượng dịch vụ cung cấp căn cứ thỏa thuận giữa đơn vị cung cấp dịch vụ với người mua.</w:t>
      </w:r>
    </w:p>
    <w:p>
      <w:pPr>
        <w:bidi w:val="0"/>
        <w:spacing w:before="120" w:beforeAutospacing="0" w:after="280" w:afterAutospacing="1"/>
      </w:pPr>
      <w:r>
        <w:rPr>
          <w:rtl w:val="0"/>
        </w:rPr>
        <w:t>c) Đối với dịch vụ viễn thông (bao gồm cả dịch vụ viễn thông giá trị gia tăng) được cung cấp thông qua bán thẻ trả trước, thu cước phí hòa mạng, thời điểm xác định thuế giá trị gia tăng là thời điểm bán thẻ trả trước, thu cước phí hòa mạng.</w:t>
      </w:r>
    </w:p>
    <w:p>
      <w:pPr>
        <w:bidi w:val="0"/>
        <w:spacing w:before="120" w:beforeAutospacing="0" w:after="280" w:afterAutospacing="1"/>
      </w:pPr>
      <w:bookmarkStart w:id="85" w:name="khoan_2_16"/>
      <w:r>
        <w:rPr>
          <w:rtl w:val="0"/>
        </w:rPr>
        <w:t>2. Đối với hoạt động bán điện:</w:t>
      </w:r>
      <w:bookmarkEnd w:id="85"/>
    </w:p>
    <w:p>
      <w:pPr>
        <w:bidi w:val="0"/>
        <w:spacing w:before="120" w:beforeAutospacing="0" w:after="280" w:afterAutospacing="1"/>
      </w:pPr>
      <w:r>
        <w:rPr>
          <w:rtl w:val="0"/>
        </w:rPr>
        <w:t>a) Đối với hoạt động bán điện của các công ty phát điện trên thị trường điện, thời điểm xác định thuế giá trị gia tăng được xác định căn cứ thời điểm về đối soát số liệu thanh toán giữa đơn vị vận hành hệ thống điện và thị trường điện, đơn vị phát điện và đơn vị mua điện theo quy định của Bộ Công Thương hoặc hợp đồng mua bán điện đã được Bộ Công Thương hướng dẫn, phê duyệt nhưng chậm nhất là ngày cuối cùng của thời hạn kê khai, nộp thuế đối với tháng phát sinh nghĩa vụ thuế theo quy định pháp luật về quản lý thuế. Riêng hoạt động bán điện của các công ty phát điện có cam kết bảo lãnh của Chính phủ về thời điểm thanh toán thì thời điểm xác định thuế giá trị gia tăng căn cứ theo bảo lãnh của Chính phủ, hướng dẫn và phê duyệt của Bộ Công Thương và các hợp đồng mua bán điện đã được ký kết giữa bên mua điện và bên bán điện.</w:t>
      </w:r>
    </w:p>
    <w:p>
      <w:pPr>
        <w:bidi w:val="0"/>
        <w:spacing w:before="120" w:beforeAutospacing="0" w:after="280" w:afterAutospacing="1"/>
      </w:pPr>
      <w:r>
        <w:rPr>
          <w:rtl w:val="0"/>
        </w:rPr>
        <w:t>b) Đối với hoạt động bán điện (trừ trường hợp nêu tại điểm a khoản này), thời điểm xác định thuế giá trị gia tăng là thời điểm hoàn thành việc đối soát dữ liệu giữa các bên nhưng chậm nhất không quá ngày 07 của tháng sau tháng phát sinh việc cung cấp điện hoặc không quá 07 ngày kể từ ngày kết thúc kỳ quy ước. Kỳ quy ước để làm căn cứ tính lượng điện cung cấp căn cứ thỏa thuận giữa đơn vị cung cấp điện với người mua.</w:t>
      </w:r>
    </w:p>
    <w:p>
      <w:pPr>
        <w:bidi w:val="0"/>
        <w:spacing w:before="120" w:beforeAutospacing="0" w:after="280" w:afterAutospacing="1"/>
      </w:pPr>
      <w:bookmarkStart w:id="86" w:name="khoan_3_16"/>
      <w:r>
        <w:rPr>
          <w:rtl w:val="0"/>
        </w:rPr>
        <w:t>3. Đối với hoạt động cung cấp nước sạch, thời điểm xác định thuế giá trị gia tăng là thời điểm hoàn thành việc đối soát dữ liệu giữa các bên nhưng chậm nhất không quá ngày 07 của tháng sau tháng phát sinh việc cung cấp nước hoặc không quá 07 ngày kể từ ngày kết thúc kỳ quy ước. Kỳ quy ước để làm căn cứ tính lượng nước cung cấp căn cứ thỏa thuận giữa đơn vị cung cấp nước với người mua.</w:t>
      </w:r>
      <w:bookmarkEnd w:id="86"/>
    </w:p>
    <w:p>
      <w:pPr>
        <w:bidi w:val="0"/>
        <w:spacing w:before="120" w:beforeAutospacing="0" w:after="280" w:afterAutospacing="1"/>
      </w:pPr>
      <w:bookmarkStart w:id="87" w:name="khoan_4_16"/>
      <w:r>
        <w:rPr>
          <w:rtl w:val="0"/>
        </w:rPr>
        <w:t>4. Đối với hoạt động kinh doanh bảo hiểm, thời điểm xác định thuế giá trị gia tăng là thời điểm ghi nhận doanh thu bảo hiểm theo quy định của pháp luật về kinh doanh bảo hiểm.</w:t>
      </w:r>
      <w:bookmarkEnd w:id="87"/>
    </w:p>
    <w:p>
      <w:pPr>
        <w:bidi w:val="0"/>
        <w:spacing w:before="120" w:beforeAutospacing="0" w:after="280" w:afterAutospacing="1"/>
      </w:pPr>
      <w:bookmarkStart w:id="88" w:name="khoan_5_16"/>
      <w:r>
        <w:rPr>
          <w:rtl w:val="0"/>
        </w:rPr>
        <w:t>5. Đối với hoạt động kinh doanh bất động sản, xây dựng cơ sở hạ tầng, xây dựng nhà để bán, chuyển nhượng hoặc cho thuê:</w:t>
      </w:r>
      <w:bookmarkEnd w:id="88"/>
    </w:p>
    <w:p>
      <w:pPr>
        <w:bidi w:val="0"/>
        <w:spacing w:before="120" w:beforeAutospacing="0" w:after="280" w:afterAutospacing="1"/>
      </w:pPr>
      <w:r>
        <w:rPr>
          <w:rtl w:val="0"/>
        </w:rPr>
        <w:t>a) Trường hợp đã chuyển giao quyền sở hữu, quyền sử dụng, thời điểm xác định thuế giá trị gia tăng là thời điểm chuyển giao quyền sở hữu hoặc quyền sử dụng hàng hóa cho người mua, không phân biệt đã thu được tiền hay chưa thu được tiền.</w:t>
      </w:r>
    </w:p>
    <w:p>
      <w:pPr>
        <w:bidi w:val="0"/>
        <w:spacing w:before="120" w:beforeAutospacing="0" w:after="280" w:afterAutospacing="1"/>
      </w:pPr>
      <w:r>
        <w:rPr>
          <w:rtl w:val="0"/>
        </w:rPr>
        <w:t>b) Trường hợp chưa chuyển giao quyền sở hữu, quyền sử dụng mà có thực hiện thu tiền theo tiến độ thực hiện dự án hoặc tiến độ thu tiền ghi trong hợp đồng, thời điểm xác định thuế giá trị gia tăng là ngày thu tiền hoặc theo thỏa thuận thanh toán trong hợp đồng.</w:t>
      </w:r>
    </w:p>
    <w:p>
      <w:pPr>
        <w:bidi w:val="0"/>
        <w:spacing w:before="120" w:beforeAutospacing="0" w:after="280" w:afterAutospacing="1"/>
      </w:pPr>
      <w:bookmarkStart w:id="89" w:name="khoan_6_16"/>
      <w:r>
        <w:rPr>
          <w:rtl w:val="0"/>
        </w:rPr>
        <w:t>6. Đối với hoạt động xây dựng, lắp đặt bao gồm cả đóng tàu, thời điểm xác định thuế giá trị gia tăng là thời điểm nghiệm thu, bàn giao công trình, hạng mục công trình, khối lượng xây dựng, lắp đặt hoàn thành hay phần công việc thực hiện bàn giao, không phân biệt đã thu được tiền hay chưa thu được tiền.</w:t>
      </w:r>
      <w:bookmarkEnd w:id="89"/>
    </w:p>
    <w:p>
      <w:pPr>
        <w:bidi w:val="0"/>
        <w:spacing w:before="120" w:beforeAutospacing="0" w:after="280" w:afterAutospacing="1"/>
      </w:pPr>
      <w:r>
        <w:rPr>
          <w:rtl w:val="0"/>
        </w:rPr>
        <w:t>7. Đối với hoạt động dầu khí:</w:t>
      </w:r>
    </w:p>
    <w:p>
      <w:pPr>
        <w:bidi w:val="0"/>
        <w:spacing w:before="120" w:beforeAutospacing="0" w:after="280" w:afterAutospacing="1"/>
      </w:pPr>
      <w:r>
        <w:rPr>
          <w:rtl w:val="0"/>
        </w:rPr>
        <w:t>a) Đối với hoạt động tìm kiếm, thăm dò, khai thác và chế biến dầu thô, thời điểm xác định thuế giá trị gia tăng của hoạt động bán dầu thô, condensate, các sản phẩm được chế biến từ dầu thô (bao gồm cả hoạt động bao tiêu sản phẩm theo cam kết của Chính phủ) là thời điểm bên mua và bên bán xác định được giá bán chính thức, không phân biệt đã thu được tiền hay chưa thu được tiền.</w:t>
      </w:r>
    </w:p>
    <w:p>
      <w:pPr>
        <w:bidi w:val="0"/>
        <w:spacing w:before="120" w:beforeAutospacing="0" w:after="280" w:afterAutospacing="1"/>
      </w:pPr>
      <w:r>
        <w:rPr>
          <w:rtl w:val="0"/>
        </w:rPr>
        <w:t>b) Đối với hoạt động bán khí thiên nhiên, khí đồng hành, khí than được chuyển bằng đường ống dẫn khí đến người mua, thời điểm xác định thuế giá trị gia tăng là thời điểm bên mua, bên bán xác định khối lượng khí giao của tháng nhưng chậm nhất là ngày cuối cùng của thời hạn kê khai, nộp thuế đối với tháng phát sinh nghĩa vụ thuế theo quy định pháp luật về quản lý thuế.</w:t>
      </w:r>
    </w:p>
    <w:p>
      <w:pPr>
        <w:bidi w:val="0"/>
        <w:spacing w:before="120" w:beforeAutospacing="0" w:after="280" w:afterAutospacing="1"/>
      </w:pPr>
      <w:bookmarkStart w:id="90" w:name="muc_3"/>
      <w:r>
        <w:rPr>
          <w:b/>
          <w:bCs/>
          <w:rtl w:val="0"/>
        </w:rPr>
        <w:t>Mục 3. THUẾ SUẤT</w:t>
      </w:r>
      <w:bookmarkEnd w:id="90"/>
    </w:p>
    <w:p>
      <w:pPr>
        <w:bidi w:val="0"/>
        <w:spacing w:before="120" w:beforeAutospacing="0" w:after="280" w:afterAutospacing="1"/>
      </w:pPr>
      <w:bookmarkStart w:id="91" w:name="dieu_17"/>
      <w:r>
        <w:rPr>
          <w:b/>
          <w:bCs/>
          <w:rtl w:val="0"/>
        </w:rPr>
        <w:t>Điều 17. Mức thuế suất 0%</w:t>
      </w:r>
      <w:bookmarkEnd w:id="91"/>
    </w:p>
    <w:p>
      <w:pPr>
        <w:bidi w:val="0"/>
        <w:spacing w:before="120" w:beforeAutospacing="0" w:after="280" w:afterAutospacing="1"/>
      </w:pPr>
      <w:r>
        <w:rPr>
          <w:rtl w:val="0"/>
        </w:rPr>
        <w:t xml:space="preserve">Mức thuế suất 0% áp dụng đối với hàng hóa, dịch vụ quy định tại </w:t>
      </w:r>
      <w:bookmarkStart w:id="92" w:name="dc_19"/>
      <w:r>
        <w:rPr>
          <w:rtl w:val="0"/>
        </w:rPr>
        <w:t>khoản 1 Điều 9 Luật Thuế giá trị gia tăng</w:t>
      </w:r>
      <w:bookmarkEnd w:id="92"/>
      <w:r>
        <w:rPr>
          <w:rtl w:val="0"/>
        </w:rPr>
        <w:t>. Trong đó:</w:t>
      </w:r>
    </w:p>
    <w:p>
      <w:pPr>
        <w:bidi w:val="0"/>
        <w:spacing w:before="120" w:beforeAutospacing="0" w:after="280" w:afterAutospacing="1"/>
      </w:pPr>
      <w:bookmarkStart w:id="93" w:name="khoan_1_17"/>
      <w:r>
        <w:rPr>
          <w:rtl w:val="0"/>
        </w:rPr>
        <w:t>1. Hàng hóa xuất khẩu bao gồm:</w:t>
      </w:r>
      <w:bookmarkEnd w:id="93"/>
    </w:p>
    <w:p>
      <w:pPr>
        <w:bidi w:val="0"/>
        <w:spacing w:before="120" w:beforeAutospacing="0" w:after="280" w:afterAutospacing="1"/>
      </w:pPr>
      <w:r>
        <w:rPr>
          <w:rtl w:val="0"/>
        </w:rPr>
        <w:t>a) Hàng hóa từ Việt Nam bán cho tổ chức, cá nhân ở nước ngoài và được tiêu dùng ở ngoài Việt Nam.</w:t>
      </w:r>
    </w:p>
    <w:p>
      <w:pPr>
        <w:bidi w:val="0"/>
        <w:spacing w:before="120" w:beforeAutospacing="0" w:after="280" w:afterAutospacing="1"/>
      </w:pPr>
      <w:r>
        <w:rPr>
          <w:rtl w:val="0"/>
        </w:rPr>
        <w:t>b) Hàng hóa từ nội địa Việt Nam bán cho tổ chức trong khu phi thuế quan và được tiêu dùng trong khu phi thuế quan phục vụ trực tiếp cho hoạt động sản xuất xuất khẩu.</w:t>
      </w:r>
    </w:p>
    <w:p>
      <w:pPr>
        <w:bidi w:val="0"/>
        <w:spacing w:before="120" w:beforeAutospacing="0" w:after="280" w:afterAutospacing="1"/>
      </w:pPr>
      <w:r>
        <w:rPr>
          <w:rtl w:val="0"/>
        </w:rPr>
        <w:t xml:space="preserve">c) Hàng hóa đã bán tại khu vực cách ly cho cá nhân (người nước ngoài hoặc người Việt Nam) đã làm thủ tục xuất cảnh; hàng hóa đã bán tại cửa hàng miễn thuế. Khu vực cách ly, cửa hàng miễn thuế xác định theo quy định tại Nghị định số </w:t>
      </w:r>
      <w:bookmarkStart w:id="94" w:name="tvpllink_nnjwjueueo"/>
      <w:r>
        <w:rPr>
          <w:rtl w:val="0"/>
        </w:rPr>
        <w:t>68/2016/NĐ-CP</w:t>
      </w:r>
      <w:bookmarkEnd w:id="94"/>
      <w:r>
        <w:rPr>
          <w:rtl w:val="0"/>
        </w:rPr>
        <w:t xml:space="preserve"> ngày 01 tháng 7 năm 2016 của Chính phủ quy định về điều kiện kinh doanh hàng miễn thuế, kho bãi, địa điểm làm thủ tục hải quan, tập kết, kiểm tra, giám sát hải quan (đã được sửa đổi, bổ sung bởi Nghị định số </w:t>
      </w:r>
      <w:bookmarkStart w:id="95" w:name="tvpllink_gmuifwqmqe"/>
      <w:r>
        <w:rPr>
          <w:rtl w:val="0"/>
        </w:rPr>
        <w:t>67/2020/NĐ-CP</w:t>
      </w:r>
      <w:bookmarkEnd w:id="95"/>
      <w:r>
        <w:rPr>
          <w:rtl w:val="0"/>
        </w:rPr>
        <w:t xml:space="preserve"> ngày 15 tháng 6 năm 2020 của Chính phủ).</w:t>
      </w:r>
    </w:p>
    <w:p>
      <w:pPr>
        <w:bidi w:val="0"/>
        <w:spacing w:before="120" w:beforeAutospacing="0" w:after="280" w:afterAutospacing="1"/>
      </w:pPr>
      <w:bookmarkStart w:id="96" w:name="khoan_2_17"/>
      <w:r>
        <w:rPr>
          <w:rtl w:val="0"/>
        </w:rPr>
        <w:t>2. Dịch vụ xuất khẩu bao gồm:</w:t>
      </w:r>
      <w:bookmarkEnd w:id="96"/>
    </w:p>
    <w:p>
      <w:pPr>
        <w:bidi w:val="0"/>
        <w:spacing w:before="120" w:beforeAutospacing="0" w:after="280" w:afterAutospacing="1"/>
      </w:pPr>
      <w:r>
        <w:rPr>
          <w:rtl w:val="0"/>
        </w:rPr>
        <w:t>a) Dịch vụ cung cấp trực tiếp cho tổ chức, cá nhân ở nước ngoài và được tiêu dùng ở ngoài Việt Nam. Trong đó, cá nhân ở nước ngoài đáp ứng điều kiện ở ngoài Việt Nam trong thời gian diễn ra việc cung cấp dịch vụ.</w:t>
      </w:r>
    </w:p>
    <w:p>
      <w:pPr>
        <w:bidi w:val="0"/>
        <w:spacing w:before="120" w:beforeAutospacing="0" w:after="280" w:afterAutospacing="1"/>
      </w:pPr>
      <w:r>
        <w:rPr>
          <w:rtl w:val="0"/>
        </w:rPr>
        <w:t>b) Dịch vụ cung cấp trực tiếp cho tổ chức ở trong khu phi thuế quan và được tiêu dùng trong khu phi thuế quan phục vụ trực tiếp cho hoạt động sản xuất xuất khẩu, bao gồm: dịch vụ cung cấp trực tiếp cho tổ chức ở trong khu phi thuế quan và được tiêu dùng trong khu phi thuế quan phục vụ trực tiếp cho hoạt động sản xuất xuất khẩu; dịch vụ vận chuyển, dịch vụ cung cấp cho doanh nghiệp chế xuất (dịch vụ nâng hạ container tại cảng, nhà máy, kho hàng; dịch vụ xếp dỡ, bốc xếp tại nhà máy, cảng, sân bay và các chi phí phát sinh có liên quan như: phí chứng từ, phí điện giao hàng, phí niêm chì, phí làm hàng, phí đóng gói). Tổ chức trong khu phi thuế quan là tổ chức có đăng ký kinh doanh.</w:t>
      </w:r>
    </w:p>
    <w:p>
      <w:pPr>
        <w:bidi w:val="0"/>
        <w:spacing w:before="120" w:beforeAutospacing="0" w:after="280" w:afterAutospacing="1"/>
      </w:pPr>
      <w:bookmarkStart w:id="97" w:name="khoan_3_17"/>
      <w:r>
        <w:rPr>
          <w:rtl w:val="0"/>
        </w:rPr>
        <w:t>3. Hàng hóa, dịch vụ xuất khẩu khác bao gồm: vận tải quốc tế; dịch vụ cho thuê phương tiện vận tải được sử dụng ngoài phạm vi lãnh thổ Việt Nam; dịch vụ của ngành hàng không, hàng hải cung cấp trực tiếp hoặc thông qua đại lý cho vận tải quốc tế; hoạt động xây dựng, lắp đặt công trình ở nước ngoài hoặc ở trong khu phi thuế quan; sản phẩm nội dung thông tin số cung cấp cho bên nước ngoài và có hồ sơ, tài liệu chứng minh tiêu dùng ở ngoài Việt Nam; phụ tùng, vật tư thay thế để sửa chữa, bảo dưỡng phương tiện, máy móc, thiết bị cho bên nước ngoài và tiêu dùng ở ngoài Việt Nam; hàng hóa gia công chuyển tiếp để xuất khẩu theo quy định của pháp luật; hàng hóa, dịch vụ thuộc đối tượng không chịu thuế giá trị gia tăng khi xuất khẩu, trừ các trường hợp không áp dụng mức thuế suất 0% quy định tại khoản 4 Điều này. Trong đó:</w:t>
      </w:r>
      <w:bookmarkEnd w:id="97"/>
    </w:p>
    <w:p>
      <w:pPr>
        <w:bidi w:val="0"/>
        <w:spacing w:before="120" w:beforeAutospacing="0" w:after="280" w:afterAutospacing="1"/>
      </w:pPr>
      <w:r>
        <w:rPr>
          <w:rtl w:val="0"/>
        </w:rPr>
        <w:t>a) Vận tải quốc tế bao gồm vận tải hành khách, hành lý, hàng hóa theo chặng quốc tế từ Việt Nam ra nước ngoài hoặc từ nước ngoài đến Việt Nam, hoặc cả điểm đi và đến ở nước ngoài, không phân biệt có phương tiện trực tiếp vận tải hay không có phương tiện. Trường hợp, hợp đồng vận tải quốc tế bao gồm cả chặng vận tải nội địa thì vận tải quốc tế bao gồm cả chặng nội địa.</w:t>
      </w:r>
    </w:p>
    <w:p>
      <w:pPr>
        <w:bidi w:val="0"/>
        <w:spacing w:before="120" w:beforeAutospacing="0" w:after="280" w:afterAutospacing="1"/>
      </w:pPr>
      <w:r>
        <w:rPr>
          <w:rtl w:val="0"/>
        </w:rPr>
        <w:t>b) Dịch vụ của ngành hàng không gồm: dịch vụ cung cấp suất ăn hàng không; dịch vụ cất hạ cánh tàu bay; dịch vụ sân đậu tàu bay; dịch vụ an ninh bảo vệ tàu bay; soi chiếu an ninh hành khách, hành lý và hàng hóa; dịch vụ băng chuyền hành lý tại nhà ga; dịch vụ phục vụ kỹ thuật thương mại mặt đất; dịch vụ bảo vệ tàu bay; dịch vụ kéo đẩy tàu bay; dịch vụ dẫn tàu bay; dịch vụ thuê cầu dẫn khách lên, xuống máy bay; dịch vụ điều hành bay đi, đến; dịch vụ vận chuyển tổ lái, tiếp viên và hành khách trong khu vực sân đậu tàu bay; chất xếp, kiểm đếm hàng hóa; dịch vụ phục vụ hành khách đi chuyến bay quốc tế từ cảng hàng không Việt Nam; dịch vụ sửa chữa tàu bay; dịch vụ tra nạp ngầm nhiên liệu cho các chuyến bay quốc tế. Dịch vụ của ngành hàng không áp dụng thuế suất 0% là những dịch vụ được thực hiện trong khu vực cảng hàng không quốc tế, sân bay, nhà ga hàng hóa hàng không quốc tế.</w:t>
      </w:r>
    </w:p>
    <w:p>
      <w:pPr>
        <w:bidi w:val="0"/>
        <w:spacing w:before="120" w:beforeAutospacing="0" w:after="280" w:afterAutospacing="1"/>
      </w:pPr>
      <w:r>
        <w:rPr>
          <w:rtl w:val="0"/>
        </w:rPr>
        <w:t>c) Dịch vụ của ngành hàng hải gồm: dịch vụ lai dắt tàu biển; hoa tiêu hàng hải; cứu hộ hàng hải; cầu cảng, bến phao; bốc xếp; buộc cởi dây; đóng mở nắp hầm hàng; vệ sinh hầm tàu; kiểm đếm, giao nhận; đăng kiểm; dịch vụ sửa chữa tàu biển. Dịch vụ của ngành hàng hải áp dụng thuế suất 0% là những dịch vụ được thực hiện tại khu vực cảng.</w:t>
      </w:r>
    </w:p>
    <w:p>
      <w:pPr>
        <w:bidi w:val="0"/>
        <w:spacing w:before="120" w:beforeAutospacing="0" w:after="280" w:afterAutospacing="1"/>
      </w:pPr>
      <w:r>
        <w:rPr>
          <w:rtl w:val="0"/>
        </w:rPr>
        <w:t>d) Sản phẩm nội dung thông tin số cung cấp cho bên nước ngoài là sản phẩm nội dung, thông tin bao gồm văn bản, dữ liệu, hình ảnh, âm thanh được thể hiện dưới dạng số, được lưu giữ, truyền đưa trên môi trường mạng xác định theo quy định của pháp luật về công nghệ thông tin. Cơ sở kinh doanh cung cấp sản phẩm nội dung thông tin số phải có hồ sơ, tài liệu chứng minh tiêu dùng ở ngoài Việt Nam, như: thông tin về tình trạng cư trú của bên nước ngoài (tổ chức, cá nhân) ở nước ngoài (thông tin địa chỉ thanh toán, địa chỉ giao hàng, địa chỉ trụ sở, địa chỉ nhà hoặc các thông tin tương tự mà tổ chức, cá nhân mua hàng khai báo với cơ sở kinh doanh cung cấp dịch vụ ở Việt Nam); thông tin về truy cập của tổ chức, cá nhân ở nước ngoài, như thông tin về mã vùng điện thoại quốc gia của thẻ SIM, địa chỉ IP, vị trí đường dây điện thoại cố định hoặc các thông tin tương tự của tổ chức, cá nhân mua hàng hóa, dịch vụ.</w:t>
      </w:r>
    </w:p>
    <w:p>
      <w:pPr>
        <w:bidi w:val="0"/>
        <w:spacing w:before="120" w:beforeAutospacing="0" w:after="280" w:afterAutospacing="1"/>
      </w:pPr>
      <w:bookmarkStart w:id="98" w:name="khoan_4_17"/>
      <w:r>
        <w:rPr>
          <w:rtl w:val="0"/>
        </w:rPr>
        <w:t>4. Các trường hợp không áp dụng thuế suất 0% quy định tại</w:t>
      </w:r>
      <w:bookmarkEnd w:id="98"/>
      <w:r>
        <w:rPr>
          <w:rtl w:val="0"/>
        </w:rPr>
        <w:t xml:space="preserve"> </w:t>
      </w:r>
      <w:bookmarkStart w:id="99" w:name="dc_20"/>
      <w:r>
        <w:rPr>
          <w:rtl w:val="0"/>
        </w:rPr>
        <w:t>điểm b và d khoản 1 Điều 9 Luật Thuế giá trị gia tăng</w:t>
      </w:r>
      <w:bookmarkEnd w:id="99"/>
      <w:r>
        <w:rPr>
          <w:rtl w:val="0"/>
        </w:rPr>
        <w:t xml:space="preserve"> </w:t>
      </w:r>
      <w:bookmarkStart w:id="100" w:name="khoan_4_17_name"/>
      <w:r>
        <w:rPr>
          <w:rtl w:val="0"/>
        </w:rPr>
        <w:t>bao gồm:</w:t>
      </w:r>
      <w:bookmarkEnd w:id="100"/>
    </w:p>
    <w:p>
      <w:pPr>
        <w:bidi w:val="0"/>
        <w:spacing w:before="120" w:beforeAutospacing="0" w:after="280" w:afterAutospacing="1"/>
      </w:pPr>
      <w:r>
        <w:rPr>
          <w:rtl w:val="0"/>
        </w:rPr>
        <w:t>a) Chuyển giao công nghệ, chuyển nhượng quyền sở hữu trí tuệ ra nước ngoài.</w:t>
      </w:r>
    </w:p>
    <w:p>
      <w:pPr>
        <w:bidi w:val="0"/>
        <w:spacing w:before="120" w:beforeAutospacing="0" w:after="280" w:afterAutospacing="1"/>
      </w:pPr>
      <w:r>
        <w:rPr>
          <w:rtl w:val="0"/>
        </w:rPr>
        <w:t>b) Dịch vụ tái bảo hiểm ra nước ngoài.</w:t>
      </w:r>
    </w:p>
    <w:p>
      <w:pPr>
        <w:bidi w:val="0"/>
        <w:spacing w:before="120" w:beforeAutospacing="0" w:after="280" w:afterAutospacing="1"/>
      </w:pPr>
      <w:r>
        <w:rPr>
          <w:rtl w:val="0"/>
        </w:rPr>
        <w:t>c) Dịch vụ cấp tín dụng.</w:t>
      </w:r>
    </w:p>
    <w:p>
      <w:pPr>
        <w:bidi w:val="0"/>
        <w:spacing w:before="120" w:beforeAutospacing="0" w:after="280" w:afterAutospacing="1"/>
      </w:pPr>
      <w:r>
        <w:rPr>
          <w:rtl w:val="0"/>
        </w:rPr>
        <w:t>d) Chuyển nhượng vốn.</w:t>
      </w:r>
    </w:p>
    <w:p>
      <w:pPr>
        <w:bidi w:val="0"/>
        <w:spacing w:before="120" w:beforeAutospacing="0" w:after="280" w:afterAutospacing="1"/>
      </w:pPr>
      <w:r>
        <w:rPr>
          <w:rtl w:val="0"/>
        </w:rPr>
        <w:t>đ) Sản phẩm phái sinh.</w:t>
      </w:r>
    </w:p>
    <w:p>
      <w:pPr>
        <w:bidi w:val="0"/>
        <w:spacing w:before="120" w:beforeAutospacing="0" w:after="280" w:afterAutospacing="1"/>
      </w:pPr>
      <w:r>
        <w:rPr>
          <w:rtl w:val="0"/>
        </w:rPr>
        <w:t>e) Dịch vụ bưu chính, viễn thông.</w:t>
      </w:r>
    </w:p>
    <w:p>
      <w:pPr>
        <w:bidi w:val="0"/>
        <w:spacing w:before="120" w:beforeAutospacing="0" w:after="280" w:afterAutospacing="1"/>
      </w:pPr>
      <w:r>
        <w:rPr>
          <w:rtl w:val="0"/>
        </w:rPr>
        <w:t xml:space="preserve">g) Sản phẩm xuất khẩu quy định tại </w:t>
      </w:r>
      <w:bookmarkStart w:id="101" w:name="tc_2"/>
      <w:r>
        <w:rPr>
          <w:rtl w:val="0"/>
        </w:rPr>
        <w:t>khoản 14 Điều 4 của Nghị định này</w:t>
      </w:r>
      <w:bookmarkEnd w:id="101"/>
      <w:r>
        <w:rPr>
          <w:rtl w:val="0"/>
        </w:rPr>
        <w:t>.</w:t>
      </w:r>
    </w:p>
    <w:p>
      <w:pPr>
        <w:bidi w:val="0"/>
        <w:spacing w:before="120" w:beforeAutospacing="0" w:after="280" w:afterAutospacing="1"/>
      </w:pPr>
      <w:r>
        <w:rPr>
          <w:rtl w:val="0"/>
        </w:rPr>
        <w:t>h) Thuốc lá, rượu, bia nhập khẩu sau đó xuất khẩu.</w:t>
      </w:r>
    </w:p>
    <w:p>
      <w:pPr>
        <w:bidi w:val="0"/>
        <w:spacing w:before="120" w:beforeAutospacing="0" w:after="280" w:afterAutospacing="1"/>
      </w:pPr>
      <w:r>
        <w:rPr>
          <w:rtl w:val="0"/>
        </w:rPr>
        <w:t>i) Xăng, dầu mua tại nội địa bán cho cơ sở kinh doanh trong khu phi thuế quan; xe ô tô bán cho tổ chức, cá nhân trong khu phi thuế quan.</w:t>
      </w:r>
    </w:p>
    <w:p>
      <w:pPr>
        <w:bidi w:val="0"/>
        <w:spacing w:before="120" w:beforeAutospacing="0" w:after="280" w:afterAutospacing="1"/>
      </w:pPr>
      <w:r>
        <w:rPr>
          <w:rtl w:val="0"/>
        </w:rPr>
        <w:t>k) Các dịch vụ cung cấp tại Việt Nam cho tổ chức, cá nhân ở nước ngoài như sau: thi đấu thể thao, biểu diễn nghệ thuật, văn hóa, giải trí, hội nghị, khách sạn, đào tạo, quảng cáo, du lịch lữ hành; dịch vụ cung cấp gắn với việc bán, phân phối, tiêu thụ sản phẩm, hàng hóa tại Việt Nam; dịch vụ thanh toán không dùng tiền mặt.</w:t>
      </w:r>
    </w:p>
    <w:p>
      <w:pPr>
        <w:bidi w:val="0"/>
        <w:spacing w:before="120" w:beforeAutospacing="0" w:after="280" w:afterAutospacing="1"/>
      </w:pPr>
      <w:r>
        <w:rPr>
          <w:rtl w:val="0"/>
        </w:rPr>
        <w:t>l) Các dịch vụ do cơ sở kinh doanh cung cấp cho tổ chức, cá nhân ở trong khu phi thuế quan bao gồm: cho thuê nhà, hội trường, văn phòng, khách sạn, kho bãi; dịch vụ vận chuyển đưa đón người lao động; dịch vụ ăn uống (trừ dịch vụ cung cấp suất ăn công nghiệp, dịch vụ ăn uống trong khu phi thuế quan).</w:t>
      </w:r>
    </w:p>
    <w:p>
      <w:pPr>
        <w:bidi w:val="0"/>
        <w:spacing w:before="120" w:beforeAutospacing="0" w:after="280" w:afterAutospacing="1"/>
      </w:pPr>
      <w:r>
        <w:rPr>
          <w:rtl w:val="0"/>
        </w:rPr>
        <w:t>5. Hàng hóa, dịch vụ bán, cung cấp cho tổ chức trong khu phi thuế quan và được tiêu dùng trong khu phi thuế quan phục vụ trực tiếp cho hoạt động sản xuất xuất khẩu quy định tại khoản 1, khoản 2 Điều này là hàng hóa, dịch vụ được tiêu dùng trong khu phi thuế quan phục vụ cho hoạt động sản xuất xuất khẩu của tổ chức trong khu phi thuế quan và không phục vụ cho hoạt động khác không phải hoạt động sản xuất xuất khẩu, trừ các hàng hóa, dịch vụ quy định tại khoản 4 Điều này.</w:t>
      </w:r>
    </w:p>
    <w:p>
      <w:pPr>
        <w:bidi w:val="0"/>
        <w:spacing w:before="120" w:beforeAutospacing="0" w:after="280" w:afterAutospacing="1"/>
      </w:pPr>
      <w:r>
        <w:rPr>
          <w:rtl w:val="0"/>
        </w:rPr>
        <w:t>6. Bộ Tài chính quy định chi tiết Điều này trong trường hợp cần thiết để thực hiện chức năng quản lý nhà nước.</w:t>
      </w:r>
    </w:p>
    <w:p>
      <w:pPr>
        <w:bidi w:val="0"/>
        <w:spacing w:before="120" w:beforeAutospacing="0" w:after="280" w:afterAutospacing="1"/>
      </w:pPr>
      <w:bookmarkStart w:id="102" w:name="dieu_18"/>
      <w:r>
        <w:rPr>
          <w:b/>
          <w:bCs/>
          <w:rtl w:val="0"/>
        </w:rPr>
        <w:t>Điều 18. Điều kiện áp dụng thuế suất 0%</w:t>
      </w:r>
      <w:bookmarkEnd w:id="102"/>
    </w:p>
    <w:p>
      <w:pPr>
        <w:bidi w:val="0"/>
        <w:spacing w:before="120" w:beforeAutospacing="0" w:after="280" w:afterAutospacing="1"/>
      </w:pPr>
      <w:r>
        <w:rPr>
          <w:rtl w:val="0"/>
        </w:rPr>
        <w:t xml:space="preserve">Hàng hóa, dịch vụ xuất khẩu áp dụng thuế suất 0% quy định tại </w:t>
      </w:r>
      <w:bookmarkStart w:id="103" w:name="tc_3"/>
      <w:r>
        <w:rPr>
          <w:rtl w:val="0"/>
        </w:rPr>
        <w:t>Điều 17 Nghị định này</w:t>
      </w:r>
      <w:bookmarkEnd w:id="103"/>
      <w:r>
        <w:rPr>
          <w:rtl w:val="0"/>
        </w:rPr>
        <w:t xml:space="preserve"> (trừ một số trường hợp đặc thù quy định tại </w:t>
      </w:r>
      <w:bookmarkStart w:id="104" w:name="tc_4"/>
      <w:r>
        <w:rPr>
          <w:rtl w:val="0"/>
        </w:rPr>
        <w:t>Điều 27, Điều 28 Nghị định này</w:t>
      </w:r>
      <w:bookmarkEnd w:id="104"/>
      <w:r>
        <w:rPr>
          <w:rtl w:val="0"/>
        </w:rPr>
        <w:t>) phải đáp ứng quy định sau:</w:t>
      </w:r>
    </w:p>
    <w:p>
      <w:pPr>
        <w:bidi w:val="0"/>
        <w:spacing w:before="120" w:beforeAutospacing="0" w:after="280" w:afterAutospacing="1"/>
      </w:pPr>
      <w:r>
        <w:rPr>
          <w:rtl w:val="0"/>
        </w:rPr>
        <w:t>1. Đối với hàng hóa xuất khẩu, phải có:</w:t>
      </w:r>
    </w:p>
    <w:p>
      <w:pPr>
        <w:bidi w:val="0"/>
        <w:spacing w:before="120" w:beforeAutospacing="0" w:after="280" w:afterAutospacing="1"/>
      </w:pPr>
      <w:r>
        <w:rPr>
          <w:rtl w:val="0"/>
        </w:rPr>
        <w:t>a) Hợp đồng bán, gia công hàng hóa xuất khẩu (đối với trường hợp bán, gia công); hợp đồng ủy thác xuất khẩu (đối với trường hợp ủy thác xuất khẩu).</w:t>
      </w:r>
    </w:p>
    <w:p>
      <w:pPr>
        <w:bidi w:val="0"/>
        <w:spacing w:before="120" w:beforeAutospacing="0" w:after="280" w:afterAutospacing="1"/>
      </w:pPr>
      <w:r>
        <w:rPr>
          <w:rtl w:val="0"/>
        </w:rPr>
        <w:t>b) Chứng từ thanh toán không dùng tiền mặt đối với hàng hóa xuất khẩu.</w:t>
      </w:r>
    </w:p>
    <w:p>
      <w:pPr>
        <w:bidi w:val="0"/>
        <w:spacing w:before="120" w:beforeAutospacing="0" w:after="280" w:afterAutospacing="1"/>
      </w:pPr>
      <w:r>
        <w:rPr>
          <w:rtl w:val="0"/>
        </w:rPr>
        <w:t>c) Tờ khai hải quan theo quy định.</w:t>
      </w:r>
    </w:p>
    <w:p>
      <w:pPr>
        <w:bidi w:val="0"/>
        <w:spacing w:before="120" w:beforeAutospacing="0" w:after="280" w:afterAutospacing="1"/>
      </w:pPr>
      <w:r>
        <w:rPr>
          <w:rtl w:val="0"/>
        </w:rPr>
        <w:t>2. Đối với dịch vụ xuất khẩu, trừ quy định tại khoản 3, 4, 5 Điều này, phải có:</w:t>
      </w:r>
    </w:p>
    <w:p>
      <w:pPr>
        <w:bidi w:val="0"/>
        <w:spacing w:before="120" w:beforeAutospacing="0" w:after="280" w:afterAutospacing="1"/>
      </w:pPr>
      <w:r>
        <w:rPr>
          <w:rtl w:val="0"/>
        </w:rPr>
        <w:t>a) Hợp đồng cung cấp dịch vụ với tổ chức, cá nhân ở nước ngoài hoặc ở trong khu phi thuế quan.</w:t>
      </w:r>
    </w:p>
    <w:p>
      <w:pPr>
        <w:bidi w:val="0"/>
        <w:spacing w:before="120" w:beforeAutospacing="0" w:after="280" w:afterAutospacing="1"/>
      </w:pPr>
      <w:r>
        <w:rPr>
          <w:rtl w:val="0"/>
        </w:rPr>
        <w:t>b) Chứng từ thanh toán không dùng tiền mặt đối với dịch vụ xuất khẩu.</w:t>
      </w:r>
    </w:p>
    <w:p>
      <w:pPr>
        <w:bidi w:val="0"/>
        <w:spacing w:before="120" w:beforeAutospacing="0" w:after="280" w:afterAutospacing="1"/>
      </w:pPr>
      <w:r>
        <w:rPr>
          <w:rtl w:val="0"/>
        </w:rPr>
        <w:t>3. Đối với vận tải quốc tế, phải có:</w:t>
      </w:r>
    </w:p>
    <w:p>
      <w:pPr>
        <w:bidi w:val="0"/>
        <w:spacing w:before="120" w:beforeAutospacing="0" w:after="280" w:afterAutospacing="1"/>
      </w:pPr>
      <w:r>
        <w:rPr>
          <w:rtl w:val="0"/>
        </w:rPr>
        <w:t>a) Hợp đồng vận chuyển hành khách, hành lý, hàng hóa giữa người vận chuyển và người thuê vận chuyển theo chặng quốc tế từ Việt Nam ra nước ngoài hoặc từ nước ngoài đến Việt Nam hoặc cả điểm đi và điểm đến ở nước ngoài theo các hình thức phù hợp với quy định của pháp luật. Đối với vận chuyển hành khách, hợp đồng vận chuyển là vé. Cơ sở kinh doanh vận tải quốc tế thực hiện theo các quy định của pháp luật về vận tải.</w:t>
      </w:r>
    </w:p>
    <w:p>
      <w:pPr>
        <w:bidi w:val="0"/>
        <w:spacing w:before="120" w:beforeAutospacing="0" w:after="280" w:afterAutospacing="1"/>
      </w:pPr>
      <w:r>
        <w:rPr>
          <w:rtl w:val="0"/>
        </w:rPr>
        <w:t>b) Chứng từ thanh toán không dùng tiền mặt. Đối với trường hợp vận chuyển hành khách là cá nhân, có chứng từ thanh toán trực tiếp.</w:t>
      </w:r>
    </w:p>
    <w:p>
      <w:pPr>
        <w:bidi w:val="0"/>
        <w:spacing w:before="120" w:beforeAutospacing="0" w:after="280" w:afterAutospacing="1"/>
      </w:pPr>
      <w:r>
        <w:rPr>
          <w:rtl w:val="0"/>
        </w:rPr>
        <w:t>4. Đối với dịch vụ của ngành hàng không, phải có:</w:t>
      </w:r>
    </w:p>
    <w:p>
      <w:pPr>
        <w:bidi w:val="0"/>
        <w:spacing w:before="120" w:beforeAutospacing="0" w:after="280" w:afterAutospacing="1"/>
      </w:pPr>
      <w:r>
        <w:rPr>
          <w:rtl w:val="0"/>
        </w:rPr>
        <w:t>a) Hợp đồng cung cấp dịch vụ với tổ chức ở nước ngoài, hãng hàng không nước ngoài hoặc yêu cầu cung cấp dịch vụ của tổ chức ở nước ngoài, hãng hàng không nước ngoài.</w:t>
      </w:r>
    </w:p>
    <w:p>
      <w:pPr>
        <w:bidi w:val="0"/>
        <w:spacing w:before="120" w:beforeAutospacing="0" w:after="280" w:afterAutospacing="1"/>
      </w:pPr>
      <w:r>
        <w:rPr>
          <w:rtl w:val="0"/>
        </w:rPr>
        <w:t>b) Chứng từ thanh toán không dùng tiền mặt. Trường hợp các dịch vụ cung cấp cho tổ chức nước ngoài, hãng hàng không nước ngoài phát sinh không thường xuyên, không theo lịch trình và không có hợp đồng, phải có chứng từ thanh toán trực tiếp của tổ chức nước ngoài, hãng hàng không nước ngoài.</w:t>
      </w:r>
    </w:p>
    <w:p>
      <w:pPr>
        <w:bidi w:val="0"/>
        <w:spacing w:before="120" w:beforeAutospacing="0" w:after="280" w:afterAutospacing="1"/>
      </w:pPr>
      <w:r>
        <w:rPr>
          <w:rtl w:val="0"/>
        </w:rPr>
        <w:t>Các quy định về hợp đồng và chứng từ thanh toán nêu tại khoản này không áp dụng đối với dịch vụ phục vụ hành khách đi chuyến bay quốc tế từ cảng hàng không Việt Nam (passenger service charges).</w:t>
      </w:r>
    </w:p>
    <w:p>
      <w:pPr>
        <w:bidi w:val="0"/>
        <w:spacing w:before="120" w:beforeAutospacing="0" w:after="280" w:afterAutospacing="1"/>
      </w:pPr>
      <w:r>
        <w:rPr>
          <w:rtl w:val="0"/>
        </w:rPr>
        <w:t>Riêng đối với dịch vụ sửa chữa tàu bay cung cấp cho tổ chức, cá nhân nước ngoài, để được áp dụng thuế suất 0%, tàu bay đưa vào Việt Nam phải làm thủ tục tạm nhập khẩu, tái xuất khẩu theo quy định.</w:t>
      </w:r>
    </w:p>
    <w:p>
      <w:pPr>
        <w:bidi w:val="0"/>
        <w:spacing w:before="120" w:beforeAutospacing="0" w:after="280" w:afterAutospacing="1"/>
      </w:pPr>
      <w:bookmarkStart w:id="105" w:name="khoan_5_18"/>
      <w:r>
        <w:rPr>
          <w:rtl w:val="0"/>
        </w:rPr>
        <w:t>5. Đối với dịch vụ của ngành hàng hải, phải có:</w:t>
      </w:r>
      <w:bookmarkEnd w:id="105"/>
    </w:p>
    <w:p>
      <w:pPr>
        <w:bidi w:val="0"/>
        <w:spacing w:before="120" w:beforeAutospacing="0" w:after="280" w:afterAutospacing="1"/>
      </w:pPr>
      <w:r>
        <w:rPr>
          <w:rtl w:val="0"/>
        </w:rPr>
        <w:t>a) Hợp đồng cung cấp dịch vụ với tổ chức ở nước ngoài, người đại lý tàu biển hoặc yêu cầu cung cấp dịch vụ của tổ chức ở nước ngoài hoặc người đại lý tàu biển.</w:t>
      </w:r>
    </w:p>
    <w:p>
      <w:pPr>
        <w:bidi w:val="0"/>
        <w:spacing w:before="120" w:beforeAutospacing="0" w:after="280" w:afterAutospacing="1"/>
      </w:pPr>
      <w:r>
        <w:rPr>
          <w:rtl w:val="0"/>
        </w:rPr>
        <w:t>b) Chứng từ thanh toán không dùng tiền mặt của tổ chức ở nước ngoài hoặc có chứng từ thanh toán không dùng tiền mặt của người đại lý tàu biển cho cơ sở kinh doanh cung cấp dịch vụ.</w:t>
      </w:r>
    </w:p>
    <w:p>
      <w:pPr>
        <w:bidi w:val="0"/>
        <w:spacing w:before="120" w:beforeAutospacing="0" w:after="280" w:afterAutospacing="1"/>
      </w:pPr>
      <w:r>
        <w:rPr>
          <w:rtl w:val="0"/>
        </w:rPr>
        <w:t>Riêng đối với dịch vụ sửa chữa tàu biển cung cấp cho tổ chức, cá nhân nước ngoài, để được áp dụng thuế suất 0%, tàu biển đưa vào Việt Nam phải làm thủ tục tạm nhập khẩu, tái xuất khẩu theo quy định.</w:t>
      </w:r>
    </w:p>
    <w:p>
      <w:pPr>
        <w:bidi w:val="0"/>
        <w:spacing w:before="120" w:beforeAutospacing="0" w:after="280" w:afterAutospacing="1"/>
      </w:pPr>
      <w:bookmarkStart w:id="106" w:name="dieu_19"/>
      <w:r>
        <w:rPr>
          <w:b/>
          <w:bCs/>
          <w:rtl w:val="0"/>
        </w:rPr>
        <w:t>Điều 19. Mức thuế suất 5%</w:t>
      </w:r>
      <w:bookmarkEnd w:id="106"/>
    </w:p>
    <w:p>
      <w:pPr>
        <w:bidi w:val="0"/>
        <w:spacing w:before="120" w:beforeAutospacing="0" w:after="280" w:afterAutospacing="1"/>
      </w:pPr>
      <w:r>
        <w:rPr>
          <w:rtl w:val="0"/>
        </w:rPr>
        <w:t xml:space="preserve">Mức thuế suất 5% áp dụng đối với hàng hóa, dịch vụ quy định tại </w:t>
      </w:r>
      <w:bookmarkStart w:id="107" w:name="dc_21"/>
      <w:r>
        <w:rPr>
          <w:rtl w:val="0"/>
        </w:rPr>
        <w:t>khoản 2 Điều 9 Luật Thuế giá trị gia tăng</w:t>
      </w:r>
      <w:bookmarkEnd w:id="107"/>
      <w:r>
        <w:rPr>
          <w:rtl w:val="0"/>
        </w:rPr>
        <w:t>. Một số trường hợp được quy định chi tiết như sau:</w:t>
      </w:r>
    </w:p>
    <w:p>
      <w:pPr>
        <w:bidi w:val="0"/>
        <w:spacing w:before="120" w:beforeAutospacing="0" w:after="280" w:afterAutospacing="1"/>
      </w:pPr>
      <w:bookmarkStart w:id="108" w:name="khoan_1_19"/>
      <w:r>
        <w:rPr>
          <w:rtl w:val="0"/>
        </w:rPr>
        <w:t>1. Phân bón, quặng để sản xuất phân bón, thuốc bảo vệ thực vật và chất kích thích tăng trưởng vật nuôi theo quy định của pháp luật, trong đó: quặng để sản xuất phân bón là các quặng làm nguyên liệu để sản xuất phân bón như quặng Apatít dùng để sản xuất các loại phân bón chứa lân, đất bùn làm phân vi sinh; thuốc bảo vệ thực vật thực hiện theo quy định của pháp luật về bảo vệ và kiểm dịch thực vật.</w:t>
      </w:r>
      <w:bookmarkEnd w:id="108"/>
    </w:p>
    <w:p>
      <w:pPr>
        <w:bidi w:val="0"/>
        <w:spacing w:before="120" w:beforeAutospacing="0" w:after="280" w:afterAutospacing="1"/>
      </w:pPr>
      <w:bookmarkStart w:id="109" w:name="khoan_2_19"/>
      <w:r>
        <w:rPr>
          <w:rtl w:val="0"/>
        </w:rPr>
        <w:t>2. Dịch vụ đào đắp, nạo vét kênh, mương, ao hồ phục vụ sản xuất nông nghiệp; nuôi trồng, chăm sóc, phòng trừ sâu bệnh cho cây trồng; sơ chế, bảo quản sản phẩm nông nghiệp. Trong đó, sơ chế, bảo quản các sản phẩm nông nghiệp bao gồm các dịch vụ: làm sạch, phơi, sấy khô, bóc vỏ, xay xát, xay vỡ mảnh, nghiền vỡ mảnh, xay bỏ vỏ, xát bỏ vỏ, tách hạt, tách cọng, cắt, xay, đánh bóng hạt, hồ hạt, chia tách ra từng phần, bỏ xương, băm, lột da, nghiền, cán mỏng, ướp muối, đóng hộp kín khí, bảo quản lạnh (ướp lạnh, đông lạnh), bảo quản bằng khí sunfuro, bảo quản theo phương thức cho hóa chất để tránh thối rữa, ngâm trong dung dịch lưu huỳnh hoặc ngâm trong dung dịch bảo quản khác và các hình thức bảo quản thông thường khác.</w:t>
      </w:r>
      <w:bookmarkEnd w:id="109"/>
    </w:p>
    <w:p>
      <w:pPr>
        <w:bidi w:val="0"/>
        <w:spacing w:before="120" w:beforeAutospacing="0" w:after="280" w:afterAutospacing="1"/>
      </w:pPr>
      <w:bookmarkStart w:id="110" w:name="khoan_3_19"/>
      <w:r>
        <w:rPr>
          <w:rtl w:val="0"/>
        </w:rPr>
        <w:t>3. Sản phẩm cây trồng, rừng trồng (trừ gỗ, măng), chăn nuôi, thủy sản nuôi trồng, đánh bắt chưa chế biến thành các sản phẩm khác hoặc chỉ qua sơ chế thông thường, trừ sản phẩm quy định</w:t>
      </w:r>
      <w:bookmarkEnd w:id="110"/>
      <w:r>
        <w:rPr>
          <w:rtl w:val="0"/>
        </w:rPr>
        <w:t xml:space="preserve"> tại </w:t>
      </w:r>
      <w:bookmarkStart w:id="111" w:name="tc_5"/>
      <w:r>
        <w:rPr>
          <w:rtl w:val="0"/>
        </w:rPr>
        <w:t>khoản 1 Điều 4 của Nghị định này</w:t>
      </w:r>
      <w:bookmarkEnd w:id="111"/>
      <w:r>
        <w:rPr>
          <w:rtl w:val="0"/>
        </w:rPr>
        <w:t>.</w:t>
      </w:r>
    </w:p>
    <w:p>
      <w:pPr>
        <w:bidi w:val="0"/>
        <w:spacing w:before="120" w:beforeAutospacing="0" w:after="280" w:afterAutospacing="1"/>
      </w:pPr>
      <w:bookmarkStart w:id="112" w:name="khoan_4_19"/>
      <w:r>
        <w:rPr>
          <w:rtl w:val="0"/>
        </w:rPr>
        <w:t>4. Mủ cao su dạng mủ cờ rếp, mủ tờ, mủ bún, mủ cốm; lưới, dây giềng và sợi để đan lưới đánh cá. Trong đó, lưới, dây giềng và sợi để đan lưới đánh cá bao gồm các loại lưới đánh cá, các loại sợi, dây giềng loại chuyên dùng để đan lưới đánh cá không phân biệt nguyên liệu sản xuất.</w:t>
      </w:r>
      <w:bookmarkEnd w:id="112"/>
    </w:p>
    <w:p>
      <w:pPr>
        <w:bidi w:val="0"/>
        <w:spacing w:before="120" w:beforeAutospacing="0" w:after="280" w:afterAutospacing="1"/>
      </w:pPr>
      <w:bookmarkStart w:id="113" w:name="khoan_5_19"/>
      <w:r>
        <w:rPr>
          <w:rtl w:val="0"/>
        </w:rPr>
        <w:t>5. Sản phẩm bằng đay, cói, tre, nứa, lá, rơm, vỏ dừa, sọ dừa, bèo tây và các sản phẩm thủ công khác sản xuất bằng nguyên liệu tận dụng từ nông nghiệp; xơ bông đã qua chải thô, chải kỹ; giấy in báo. Trong đó, sản phẩm bằng đay, cói, tre, nứa, lá, rơm, vỏ dừa, sọ dừa, bèo tây và các sản phẩm thủ công khác sản xuất bằng nguyên liệu tận dụng từ nông nghiệp là các loại sản phẩm được sản xuất, chế biến từ nguyên liệu chính bằng đay, cói, tre, song, mây, trúc, chít, nứa, luồng, lá như: thảm đay, sợi đay, bao đay, thảm xơ dừa, chiếu sản xuất bằng đay, cói; chổi chít, dây thừng, dây buộc làm bằng tre nứa, xơ dừa; rèm, mành bằng tre, trúc, nứa, chổi tre, nón lá; đũa tre, đũa luồng.</w:t>
      </w:r>
      <w:bookmarkEnd w:id="113"/>
    </w:p>
    <w:p>
      <w:pPr>
        <w:bidi w:val="0"/>
        <w:spacing w:before="120" w:beforeAutospacing="0" w:after="280" w:afterAutospacing="1"/>
      </w:pPr>
      <w:bookmarkStart w:id="114" w:name="khoan_6_19"/>
      <w:r>
        <w:rPr>
          <w:rtl w:val="0"/>
        </w:rPr>
        <w:t>6. Tàu khai thác thủy sản tại vùng biển; máy móc, thiết bị chuyên dùng phục vụ cho sản xuất nông nghiệp. Trong đó, máy móc, thiết bị chuyên dùng phục vụ cho sản xuất nông nghiệp bao gồm: máy cày; máy bừa; máy phay; máy rạch hàng; máy bạt gốc; thiết bị san phẳng đồng ruộng; máy gieo hạt; máy cấy; máy trồng mía; hệ thống máy sản xuất mạ thảm; máy xới, máy vun luống, máy vãi, rắc phân, bón phân; máy, bình phun thuốc bảo vệ thực vật; máy thu hoạch lúa, ngô, mía, cà phê, bông; máy thu hoạch củ, quả, rễ; máy đốn chè, máy hái chè; máy tuốt đập lúa; máy bóc bẹ tẽ hạt ngô; máy tẽ ngô; máy đập đậu tương; máy bóc vỏ lạc; xát vỏ cà phê; máy thiết bị sơ chế cà phê, thóc ướt; máy sấy nông sản (lúa, ngô, cà phê, tiêu, điều...), thủy sản; máy thu gom, bốc mía, lúa, rơm rạ trên đồng; máy ấp, nở trứng gia cầm; máy thu hoạch cỏ, máy đóng kiện rơm, cỏ; máy vắt sữa và các loại máy chuyên dùng khác.</w:t>
      </w:r>
      <w:bookmarkEnd w:id="114"/>
    </w:p>
    <w:p>
      <w:pPr>
        <w:bidi w:val="0"/>
        <w:spacing w:before="120" w:beforeAutospacing="0" w:after="280" w:afterAutospacing="1"/>
      </w:pPr>
      <w:bookmarkStart w:id="115" w:name="cumtu_1"/>
      <w:r>
        <w:rPr>
          <w:rtl w:val="0"/>
        </w:rPr>
        <w:t>Bộ Nông nghiệp và Môi trường chủ trì, phối hợp với Bộ Tài chính hướng dẫn các loại máy chuyên dùng khác phục vụ cho sản xuất nông nghiệp thuộc đối tượng áp dụng mức thuế suất 5% theo quy định tại khoản này.</w:t>
      </w:r>
      <w:bookmarkEnd w:id="115"/>
    </w:p>
    <w:p>
      <w:pPr>
        <w:bidi w:val="0"/>
        <w:spacing w:before="120" w:beforeAutospacing="0" w:after="280" w:afterAutospacing="1"/>
      </w:pPr>
      <w:bookmarkStart w:id="116" w:name="khoan_7_19"/>
      <w:r>
        <w:rPr>
          <w:rtl w:val="0"/>
        </w:rPr>
        <w:t>7. Thiết bị y tế theo quy định của pháp luật về quản lý thiết bị y tế; thuốc phòng bệnh, chữa bệnh; dược chất, dược liệu là nguyên liệu sản xuất thuốc chữa bệnh, thuốc phòng bệnh. Trong đó:</w:t>
      </w:r>
      <w:bookmarkEnd w:id="116"/>
    </w:p>
    <w:p>
      <w:pPr>
        <w:bidi w:val="0"/>
        <w:spacing w:before="120" w:beforeAutospacing="0" w:after="280" w:afterAutospacing="1"/>
      </w:pPr>
      <w:r>
        <w:rPr>
          <w:rtl w:val="0"/>
        </w:rPr>
        <w:t>a) Thiết bị y tế là thiết bị có Giấy phép nhập khẩu hoặc có Giấy chứng nhận đăng ký lưu hành hoặc Văn bản công bố tiêu chuẩn áp dụng của trang thiết bị y tế theo quy định của pháp luật về y tế hoặc theo Danh mục thiết bị y tế xuất khẩu, nhập khẩu đã được xác định mã số hàng hóa theo Danh mục hàng hóa xuất khẩu, nhập khẩu Việt Nam do Bộ trưởng Bộ Y tế ban hành theo quy định của pháp luật về quản lý thiết bị y tế.</w:t>
      </w:r>
    </w:p>
    <w:p>
      <w:pPr>
        <w:bidi w:val="0"/>
        <w:spacing w:before="120" w:beforeAutospacing="0" w:after="280" w:afterAutospacing="1"/>
      </w:pPr>
      <w:r>
        <w:rPr>
          <w:rtl w:val="0"/>
        </w:rPr>
        <w:t>b) Thuốc phòng bệnh, chữa bệnh bao gồm thuốc thành phẩm, nguyên liệu làm thuốc, trừ thực phẩm chức năng; vắc-xin; sinh phẩm y tế, nước cất để pha chế thuốc tiêm, dịch truyền.</w:t>
      </w:r>
    </w:p>
    <w:p>
      <w:pPr>
        <w:bidi w:val="0"/>
        <w:spacing w:before="120" w:beforeAutospacing="0" w:after="280" w:afterAutospacing="1"/>
      </w:pPr>
      <w:bookmarkStart w:id="117" w:name="khoan_8_19"/>
      <w:r>
        <w:rPr>
          <w:rtl w:val="0"/>
        </w:rPr>
        <w:t>8. Hoạt động nghệ thuật biểu diễn truyền thống, dân gian là các hoạt động nghệ thuật biểu diễn, nghệ thuật trình diễn dân gian theo quy định pháp luật về nghệ thuật biểu diễn và di sản văn hóa.</w:t>
      </w:r>
      <w:bookmarkEnd w:id="117"/>
    </w:p>
    <w:p>
      <w:pPr>
        <w:bidi w:val="0"/>
        <w:spacing w:before="120" w:beforeAutospacing="0" w:after="280" w:afterAutospacing="1"/>
      </w:pPr>
      <w:bookmarkStart w:id="118" w:name="khoan_9_19"/>
      <w:r>
        <w:rPr>
          <w:rtl w:val="0"/>
        </w:rPr>
        <w:t>9. Đồ chơi cho trẻ em; sách các loại, trừ sách quy định tại</w:t>
      </w:r>
      <w:bookmarkEnd w:id="118"/>
      <w:r>
        <w:rPr>
          <w:rtl w:val="0"/>
        </w:rPr>
        <w:t xml:space="preserve"> </w:t>
      </w:r>
      <w:bookmarkStart w:id="119" w:name="tc_6"/>
      <w:r>
        <w:rPr>
          <w:rtl w:val="0"/>
        </w:rPr>
        <w:t>khoản 8 Điều 4 của Nghị định này</w:t>
      </w:r>
      <w:bookmarkEnd w:id="119"/>
      <w:r>
        <w:rPr>
          <w:rtl w:val="0"/>
        </w:rPr>
        <w:t>.</w:t>
      </w:r>
    </w:p>
    <w:p>
      <w:pPr>
        <w:bidi w:val="0"/>
        <w:spacing w:before="120" w:beforeAutospacing="0" w:after="280" w:afterAutospacing="1"/>
      </w:pPr>
      <w:bookmarkStart w:id="120" w:name="muc_4"/>
      <w:r>
        <w:rPr>
          <w:b/>
          <w:bCs/>
          <w:rtl w:val="0"/>
        </w:rPr>
        <w:t>Mục 4. PHƯƠNG PHÁP KHẤU TRỪ THUẾ</w:t>
      </w:r>
      <w:bookmarkEnd w:id="120"/>
    </w:p>
    <w:p>
      <w:pPr>
        <w:bidi w:val="0"/>
        <w:spacing w:before="120" w:beforeAutospacing="0" w:after="280" w:afterAutospacing="1"/>
      </w:pPr>
      <w:bookmarkStart w:id="121" w:name="dieu_20"/>
      <w:r>
        <w:rPr>
          <w:b/>
          <w:bCs/>
          <w:rtl w:val="0"/>
        </w:rPr>
        <w:t>Điều 20. Phương pháp khấu trừ thuế</w:t>
      </w:r>
      <w:bookmarkEnd w:id="121"/>
    </w:p>
    <w:p>
      <w:pPr>
        <w:bidi w:val="0"/>
        <w:spacing w:before="120" w:beforeAutospacing="0" w:after="280" w:afterAutospacing="1"/>
      </w:pPr>
      <w:r>
        <w:rPr>
          <w:rtl w:val="0"/>
        </w:rPr>
        <w:t>1. Số thuế giá trị gia tăng phải nộp theo phương pháp khấu trừ thuế bằng số thuế giá trị gia tăng đầu ra trừ số thuế giá trị gia tăng đầu vào được khấu trừ.</w:t>
      </w:r>
    </w:p>
    <w:p>
      <w:pPr>
        <w:bidi w:val="0"/>
        <w:spacing w:before="120" w:beforeAutospacing="0" w:after="280" w:afterAutospacing="1"/>
      </w:pPr>
      <w:r>
        <w:rPr>
          <w:rtl w:val="0"/>
        </w:rPr>
        <w:t>2. Số thuế giá trị gia tăng đầu ra bằng tổng số thuế giá trị gia tăng của hàng hóa, dịch vụ bán ra ghi trên hóa đơn giá trị gia tăng.</w:t>
      </w:r>
    </w:p>
    <w:p>
      <w:pPr>
        <w:bidi w:val="0"/>
        <w:spacing w:before="120" w:beforeAutospacing="0" w:after="280" w:afterAutospacing="1"/>
      </w:pPr>
      <w:r>
        <w:rPr>
          <w:rtl w:val="0"/>
        </w:rPr>
        <w:t>Thuế giá trị gia tăng của hàng hóa, dịch vụ bán ra ghi trên hóa đơn giá trị gia tăng bằng giá tính thuế của hàng hóa, dịch vụ chịu thuế bán ra nhân với thuế suất thuế giá trị gia tăng của hàng hóa, dịch vụ đó.</w:t>
      </w:r>
    </w:p>
    <w:p>
      <w:pPr>
        <w:bidi w:val="0"/>
        <w:spacing w:before="120" w:beforeAutospacing="0" w:after="280" w:afterAutospacing="1"/>
      </w:pPr>
      <w:r>
        <w:rPr>
          <w:rtl w:val="0"/>
        </w:rPr>
        <w:t xml:space="preserve">Trường hợp sử dụng hóa đơn ghi giá thanh toán là giá đã có thuế giá trị gia tăng thì thuế giá trị gia tăng đầu ra được xác định bằng giá thanh toán trừ giá tính thuế giá trị gia tăng xác định theo quy định tại </w:t>
      </w:r>
      <w:bookmarkStart w:id="122" w:name="tc_7"/>
      <w:r>
        <w:rPr>
          <w:rtl w:val="0"/>
        </w:rPr>
        <w:t>khoản 2 Điều 9 Nghị định này</w:t>
      </w:r>
      <w:bookmarkEnd w:id="122"/>
      <w:r>
        <w:rPr>
          <w:rtl w:val="0"/>
        </w:rPr>
        <w:t>.</w:t>
      </w:r>
    </w:p>
    <w:p>
      <w:pPr>
        <w:bidi w:val="0"/>
        <w:spacing w:before="120" w:beforeAutospacing="0" w:after="280" w:afterAutospacing="1"/>
      </w:pPr>
      <w:r>
        <w:rPr>
          <w:rtl w:val="0"/>
        </w:rPr>
        <w:t xml:space="preserve">3. Số thuế giá trị gia tăng đầu vào được khấu trừ bằng tổng số thuế giá trị gia tăng ghi trên hóa đơn giá trị gia tăng mua hàng hóa, dịch vụ, chứng từ nộp thuế giá trị gia tăng của hàng hóa nhập khẩu hoặc chứng từ nộp thuế đối với trường hợp mua dịch vụ và đáp ứng điều kiện khấu trừ quy định tại Mục 1, Mục 2 Chương III Nghị định này. Trong đó, chứng từ nộp thuế đối với trường hợp mua dịch vụ thực hiện theo quy định tại </w:t>
      </w:r>
      <w:bookmarkStart w:id="123" w:name="tc_8"/>
      <w:r>
        <w:rPr>
          <w:rtl w:val="0"/>
        </w:rPr>
        <w:t>điểm a khoản 2 Điều 3 của Nghị định này</w:t>
      </w:r>
      <w:bookmarkEnd w:id="123"/>
      <w:r>
        <w:rPr>
          <w:rtl w:val="0"/>
        </w:rPr>
        <w:t xml:space="preserve">, </w:t>
      </w:r>
      <w:bookmarkStart w:id="124" w:name="dc_22"/>
      <w:r>
        <w:rPr>
          <w:rtl w:val="0"/>
        </w:rPr>
        <w:t>khoản 3 Điều 4 Luật Thuế giá trị gia tăng</w:t>
      </w:r>
      <w:bookmarkEnd w:id="124"/>
      <w:r>
        <w:rPr>
          <w:rtl w:val="0"/>
        </w:rPr>
        <w:t>.</w:t>
      </w:r>
    </w:p>
    <w:p>
      <w:pPr>
        <w:bidi w:val="0"/>
        <w:spacing w:before="120" w:beforeAutospacing="0" w:after="280" w:afterAutospacing="1"/>
      </w:pPr>
      <w:bookmarkStart w:id="125" w:name="dieu_21"/>
      <w:r>
        <w:rPr>
          <w:b/>
          <w:bCs/>
          <w:rtl w:val="0"/>
        </w:rPr>
        <w:t>Điều 21. Đối tượng áp dụng phương pháp khấu trừ thuế</w:t>
      </w:r>
      <w:bookmarkEnd w:id="125"/>
    </w:p>
    <w:p>
      <w:pPr>
        <w:bidi w:val="0"/>
        <w:spacing w:before="120" w:beforeAutospacing="0" w:after="280" w:afterAutospacing="1"/>
      </w:pPr>
      <w:r>
        <w:rPr>
          <w:rtl w:val="0"/>
        </w:rPr>
        <w:t>Phương pháp khấu trừ thuế áp dụng đối với cơ sở kinh doanh thực hiện đầy đủ chế độ kế toán, hóa đơn, chứng từ theo quy định của pháp luật về kế toán, hóa đơn, chứng từ bao gồm:</w:t>
      </w:r>
    </w:p>
    <w:p>
      <w:pPr>
        <w:bidi w:val="0"/>
        <w:spacing w:before="120" w:beforeAutospacing="0" w:after="280" w:afterAutospacing="1"/>
      </w:pPr>
      <w:bookmarkStart w:id="126" w:name="khoan_1_21"/>
      <w:r>
        <w:rPr>
          <w:rtl w:val="0"/>
        </w:rPr>
        <w:t>1. Cơ sở kinh doanh có doanh thu hằng năm từ bán hàng hóa, cung cấp dịch vụ từ 01 tỷ đồng trở lên, trừ hộ, cá nhân sản xuất, kinh doanh. Trong đó:</w:t>
      </w:r>
      <w:bookmarkEnd w:id="126"/>
    </w:p>
    <w:p>
      <w:pPr>
        <w:bidi w:val="0"/>
        <w:spacing w:before="120" w:beforeAutospacing="0" w:after="280" w:afterAutospacing="1"/>
      </w:pPr>
      <w:r>
        <w:rPr>
          <w:rtl w:val="0"/>
        </w:rPr>
        <w:t>a) Doanh thu hằng năm do cơ sở kinh doanh tự xác định căn cứ vào tổng cộng chỉ tiêu “Tổng doanh thu của hàng hóa, dịch vụ bán ra chịu thuế giá trị gia tăng” trên Tờ khai thuế giá trị gia tăng tháng của kỳ tính thuế từ tháng 11 năm trước đến hết kỳ tính thuế tháng 10 năm hiện tại, trước năm xác định phương pháp tính thuế giá trị gia tăng hoặc trên Tờ khai thuế giá trị gia tăng quý của kỳ tính thuế từ quý 4 năm trước đến hết kỳ tính thuế quý 3 năm hiện tại, trước năm xác định phương pháp tính thuế giá trị gia tăng. Thời gian áp dụng ổn định phương pháp tính thuế là 02 năm liên tục.</w:t>
      </w:r>
    </w:p>
    <w:p>
      <w:pPr>
        <w:bidi w:val="0"/>
        <w:spacing w:before="120" w:beforeAutospacing="0" w:after="280" w:afterAutospacing="1"/>
      </w:pPr>
      <w:r>
        <w:rPr>
          <w:rtl w:val="0"/>
        </w:rPr>
        <w:t>b) Trường hợp cơ sở kinh doanh mới thành lập trong năm và hoạt động sản xuất, kinh doanh trong năm không đủ 12 tháng thì xác định doanh thu ước tính của năm như sau: tổng cộng chỉ tiêu “Tổng doanh thu của hàng hóa, dịch vụ bán ra chịu thuế giá trị gia tăng” trên Tờ khai thuế giá trị gia tăng của kỳ tính thuế các tháng hoạt động sản xuất, kinh doanh chia (:) số tháng hoạt động sản xuất, kinh doanh và nhân với (x) 12 tháng. Trường hợp theo cách xác định như trên, doanh thu ước tính từ 01 tỷ đồng trở lên thì cơ sở kinh doanh áp dụng phương pháp khấu trừ thuế. Trường hợp doanh thu ước tính theo cách xác định trên chưa đến 01 tỷ đồng thì cơ sở kinh doanh áp dụng phương pháp tính trực tiếp theo doanh thu trong 02 năm, trừ trường hợp cơ sở kinh doanh đăng ký tự nguyện áp dụng phương pháp khấu trừ thuế.</w:t>
      </w:r>
    </w:p>
    <w:p>
      <w:pPr>
        <w:bidi w:val="0"/>
        <w:spacing w:before="120" w:beforeAutospacing="0" w:after="280" w:afterAutospacing="1"/>
      </w:pPr>
      <w:r>
        <w:rPr>
          <w:rtl w:val="0"/>
        </w:rPr>
        <w:t>c) Trường hợp cơ sở kinh doanh tạm nghỉ sản xuất, kinh doanh trong cả năm thì xác định theo doanh thu của năm trước năm tạm nghỉ sản xuất, kinh doanh. Đối với cơ sở kinh doanh tạm nghỉ sản xuất, kinh doanh một thời gian trong năm hoặc năm trước thì xác định doanh thu theo số tháng, quý thực sản xuất, kinh doanh như trường hợp hoạt động sản xuất, kinh doanh không đủ 12 tháng nêu tại điểm b khoản này.</w:t>
      </w:r>
    </w:p>
    <w:p>
      <w:pPr>
        <w:bidi w:val="0"/>
        <w:spacing w:before="120" w:beforeAutospacing="0" w:after="280" w:afterAutospacing="1"/>
      </w:pPr>
      <w:bookmarkStart w:id="127" w:name="khoan_2_21"/>
      <w:r>
        <w:rPr>
          <w:rtl w:val="0"/>
        </w:rPr>
        <w:t>2. Cơ sở kinh doanh tự nguyện áp dụng phương pháp khấu trừ thuế, trừ hộ, cá nhân sản xuất, kinh doanh. Trong đó:</w:t>
      </w:r>
      <w:bookmarkEnd w:id="127"/>
    </w:p>
    <w:p>
      <w:pPr>
        <w:bidi w:val="0"/>
        <w:spacing w:before="120" w:beforeAutospacing="0" w:after="280" w:afterAutospacing="1"/>
      </w:pPr>
      <w:r>
        <w:rPr>
          <w:rtl w:val="0"/>
        </w:rPr>
        <w:t>a) Doanh nghiệp, hợp tác xã, liên hiệp hợp tác xã đang hoạt động có doanh thu hằng năm từ bán hàng hóa, cung cấp dịch vụ chịu thuế giá trị gia tăng dưới 01 tỷ đồng đã thực hiện đầy đủ chế độ kế toán, sổ sách, hóa đơn, chứng từ theo quy định của pháp luật về kế toán, hóa đơn, chứng từ.</w:t>
      </w:r>
    </w:p>
    <w:p>
      <w:pPr>
        <w:bidi w:val="0"/>
        <w:spacing w:before="120" w:beforeAutospacing="0" w:after="280" w:afterAutospacing="1"/>
      </w:pPr>
      <w:r>
        <w:rPr>
          <w:rtl w:val="0"/>
        </w:rPr>
        <w:t>b) Doanh nghiệp mới thành lập từ dự án đầu tư của cơ sở kinh doanh đang hoạt động nộp thuế giá trị gia tăng theo phương pháp khấu trừ thuế.</w:t>
      </w:r>
    </w:p>
    <w:p>
      <w:pPr>
        <w:bidi w:val="0"/>
        <w:spacing w:before="120" w:beforeAutospacing="0" w:after="280" w:afterAutospacing="1"/>
      </w:pPr>
      <w:r>
        <w:rPr>
          <w:rtl w:val="0"/>
        </w:rPr>
        <w:t>c) Doanh nghiệp mới thành lập có thực hiện đầu tư theo dự án đầu tư được cấp có thẩm quyền phê duyệt thuộc trường hợp đăng ký tự nguyện áp dụng phương pháp khấu trừ thuế.</w:t>
      </w:r>
    </w:p>
    <w:p>
      <w:pPr>
        <w:bidi w:val="0"/>
        <w:spacing w:before="120" w:beforeAutospacing="0" w:after="280" w:afterAutospacing="1"/>
      </w:pPr>
      <w:r>
        <w:rPr>
          <w:rtl w:val="0"/>
        </w:rPr>
        <w:t>d) Doanh nghiệp, hợp tác xã, liên hiệp hợp tác xã mới thành lập có dự án đầu tư không thuộc đối tượng được cấp có thẩm quyền phê duyệt theo quy định của pháp luật về đầu tư nhưng có phương án đầu tư được người có thẩm quyền của doanh nghiệp ra quyết định đầu tư phê duyệt thuộc đối tượng đăng ký áp dụng phương pháp khấu trừ thuế.</w:t>
      </w:r>
    </w:p>
    <w:p>
      <w:pPr>
        <w:bidi w:val="0"/>
        <w:spacing w:before="120" w:beforeAutospacing="0" w:after="280" w:afterAutospacing="1"/>
      </w:pPr>
      <w:r>
        <w:rPr>
          <w:rtl w:val="0"/>
        </w:rPr>
        <w:t>đ) Doanh nghiệp, hợp tác xã, liên hiệp hợp tác xã mới thành lập có thực hiện đầu tư, mua sắm, nhận góp vốn bằng tài sản cố định, máy móc, thiết bị, công cụ, dụng cụ hoặc có hợp đồng thuê địa điểm kinh doanh.</w:t>
      </w:r>
    </w:p>
    <w:p>
      <w:pPr>
        <w:bidi w:val="0"/>
        <w:spacing w:before="120" w:beforeAutospacing="0" w:after="280" w:afterAutospacing="1"/>
      </w:pPr>
      <w:r>
        <w:rPr>
          <w:rtl w:val="0"/>
        </w:rPr>
        <w:t>e) Tổ chức nước ngoài có cơ sở thường trú tại Việt Nam, cá nhân ở nước ngoài là đối tượng cư trú tại Việt Nam có doanh thu phát sinh tại Việt Nam.</w:t>
      </w:r>
    </w:p>
    <w:p>
      <w:pPr>
        <w:bidi w:val="0"/>
        <w:spacing w:before="120" w:beforeAutospacing="0" w:after="280" w:afterAutospacing="1"/>
      </w:pPr>
      <w:r>
        <w:rPr>
          <w:rtl w:val="0"/>
        </w:rPr>
        <w:t>g) Tổ chức kinh tế khác hạch toán được thuế giá trị gia tăng đầu vào, đầu ra, không bao gồm doanh nghiệp, hợp tác xã, liên hiệp hợp tác xã.</w:t>
      </w:r>
    </w:p>
    <w:p>
      <w:pPr>
        <w:bidi w:val="0"/>
        <w:spacing w:before="120" w:beforeAutospacing="0" w:after="280" w:afterAutospacing="1"/>
      </w:pPr>
      <w:bookmarkStart w:id="128" w:name="khoan_3_21"/>
      <w:r>
        <w:rPr>
          <w:rtl w:val="0"/>
        </w:rPr>
        <w:t>3. Tổ chức, cá nhân nước ngoài cung cấp hàng hóa, dịch vụ để tiến hành hoạt động tìm kiếm thăm dò, phát triển mỏ dầu khí và khai thác dầu khí nộp thuế theo phương pháp khấu trừ thuế do bên Việt Nam kê khai, khấu trừ, nộp thay.</w:t>
      </w:r>
      <w:bookmarkEnd w:id="128"/>
    </w:p>
    <w:p>
      <w:pPr>
        <w:bidi w:val="0"/>
        <w:spacing w:before="120" w:beforeAutospacing="0" w:after="280" w:afterAutospacing="1"/>
      </w:pPr>
      <w:r>
        <w:rPr>
          <w:rtl w:val="0"/>
        </w:rPr>
        <w:t>4. Chi nhánh mới thành lập của doanh nghiệp đang nộp thuế giá trị gia tăng theo phương pháp khấu trừ thuế (bao gồm cả chi nhánh được thành lập từ dự án đầu tư của doanh nghiệp) thuộc trường hợp khai thuế giá trị gia tăng riêng theo quy định của pháp luật về quản lý thuế thì xác định phương pháp tính thuế của chi nhánh theo phương pháp tính thuế của doanh nghiệp đang hoạt động.</w:t>
      </w:r>
    </w:p>
    <w:p>
      <w:pPr>
        <w:bidi w:val="0"/>
        <w:spacing w:before="120" w:beforeAutospacing="0" w:after="280" w:afterAutospacing="1"/>
      </w:pPr>
      <w:bookmarkStart w:id="129" w:name="muc_5"/>
      <w:r>
        <w:rPr>
          <w:b/>
          <w:bCs/>
          <w:rtl w:val="0"/>
        </w:rPr>
        <w:t>Mục 5. PHƯƠNG PHÁP TÍNH TRỰC TIẾP TRÊN GIÁ TRỊ GIA TĂNG ĐỐI VỚI HOẠT ĐỘNG MUA, BÁN, CHẾ TÁC VÀNG, BẠC, ĐÁ QUÝ</w:t>
      </w:r>
      <w:bookmarkEnd w:id="129"/>
    </w:p>
    <w:p>
      <w:pPr>
        <w:bidi w:val="0"/>
        <w:spacing w:before="120" w:beforeAutospacing="0" w:after="280" w:afterAutospacing="1"/>
      </w:pPr>
      <w:bookmarkStart w:id="130" w:name="dieu_22"/>
      <w:r>
        <w:rPr>
          <w:b/>
          <w:bCs/>
          <w:rtl w:val="0"/>
        </w:rPr>
        <w:t>Điều 22. Phương pháp tính trực tiếp trên giá trị gia tăng đối với hoạt động mua, bán, chế tác vàng, bạc, đá quý</w:t>
      </w:r>
      <w:bookmarkEnd w:id="130"/>
    </w:p>
    <w:p>
      <w:pPr>
        <w:bidi w:val="0"/>
        <w:spacing w:before="120" w:beforeAutospacing="0" w:after="280" w:afterAutospacing="1"/>
      </w:pPr>
      <w:r>
        <w:rPr>
          <w:rtl w:val="0"/>
        </w:rPr>
        <w:t>1. Số thuế giá trị gia tăng phải nộp theo phương pháp tính trực tiếp trên giá trị gia tăng bằng giá trị gia tăng nhân với thuế suất thuế giá trị gia tăng áp dụng đối với hoạt động mua, bán, chế tác vàng, bạc, đá quý.</w:t>
      </w:r>
    </w:p>
    <w:p>
      <w:pPr>
        <w:bidi w:val="0"/>
        <w:spacing w:before="120" w:beforeAutospacing="0" w:after="280" w:afterAutospacing="1"/>
      </w:pPr>
      <w:r>
        <w:rPr>
          <w:rtl w:val="0"/>
        </w:rPr>
        <w:t>2. Giá trị gia tăng của hoạt động mua, bán, chế tác vàng, bạc, đá quý được xác định bằng giá thanh toán của vàng, bạc, đá quý bán ra trừ giá thanh toán của vàng, bạc, đá quý mua vào tương ứng. Trong đó:</w:t>
      </w:r>
    </w:p>
    <w:p>
      <w:pPr>
        <w:bidi w:val="0"/>
        <w:spacing w:before="120" w:beforeAutospacing="0" w:after="280" w:afterAutospacing="1"/>
      </w:pPr>
      <w:r>
        <w:rPr>
          <w:rtl w:val="0"/>
        </w:rPr>
        <w:t>a) Giá thanh toán của vàng, bạc, đá quý bán ra là giá thực tế bán ghi trên hóa đơn bán vàng, bạc, đá quý, bao gồm cả tiền công chế tác (nếu có), thuế giá trị gia tăng và các khoản phụ thu, phí thu thêm mà bên bán được hưởng.</w:t>
      </w:r>
    </w:p>
    <w:p>
      <w:pPr>
        <w:bidi w:val="0"/>
        <w:spacing w:before="120" w:beforeAutospacing="0" w:after="280" w:afterAutospacing="1"/>
      </w:pPr>
      <w:r>
        <w:rPr>
          <w:rtl w:val="0"/>
        </w:rPr>
        <w:t>b) Giá thanh toán của vàng, bạc, đá quý mua vào được xác định bằng giá trị vàng, bạc, đá quý mua vào hoặc nhập khẩu, đã có thuế giá trị gia tăng dùng cho mua, bán, chế tác vàng, bạc, đá quý bán ra tương ứng.</w:t>
      </w:r>
    </w:p>
    <w:p>
      <w:pPr>
        <w:bidi w:val="0"/>
        <w:spacing w:before="120" w:beforeAutospacing="0" w:after="280" w:afterAutospacing="1"/>
      </w:pPr>
      <w:r>
        <w:rPr>
          <w:rtl w:val="0"/>
        </w:rPr>
        <w:t>3. Trường hợp cơ sở kinh doanh có hoạt động mua, bán, chế tác vàng, bạc, đá quý thì cơ sở kinh doanh phải hạch toán riêng hoạt động này để nộp thuế theo phương pháp tính trực tiếp trên giá trị gia tăng.</w:t>
      </w:r>
    </w:p>
    <w:p>
      <w:pPr>
        <w:bidi w:val="0"/>
        <w:spacing w:before="120" w:beforeAutospacing="0" w:after="280" w:afterAutospacing="1"/>
      </w:pPr>
      <w:r>
        <w:rPr>
          <w:rtl w:val="0"/>
        </w:rPr>
        <w:t>4. Trường hợp trong kỳ tính thuế phát sinh giá trị gia tăng âm (-) của vàng, bạc, đá quý thì được tính bù trừ vào giá trị gia tăng dương (+) của vàng, bạc, đá quý. Trường hợp không phát sinh giá trị gia tăng dương (+) hoặc giá trị gia tăng dương (+) không đủ bù trừ giá trị gia tăng âm (-) thì được kết chuyển để trừ vào giá trị gia tăng của kỳ sau trong năm. Kết thúc năm dương lịch, giá trị gia tăng âm (-) không được kết chuyển tiếp sang năm sau.</w:t>
      </w:r>
    </w:p>
    <w:p>
      <w:pPr>
        <w:bidi w:val="0"/>
        <w:spacing w:before="120" w:beforeAutospacing="0" w:after="280" w:afterAutospacing="1"/>
      </w:pPr>
      <w:bookmarkStart w:id="131" w:name="chuong_3"/>
      <w:r>
        <w:rPr>
          <w:b/>
          <w:bCs/>
          <w:rtl w:val="0"/>
        </w:rPr>
        <w:t>Chương III</w:t>
      </w:r>
      <w:bookmarkEnd w:id="131"/>
    </w:p>
    <w:p>
      <w:pPr>
        <w:bidi w:val="0"/>
        <w:spacing w:before="120" w:beforeAutospacing="0" w:after="280" w:afterAutospacing="1"/>
        <w:jc w:val="center"/>
      </w:pPr>
      <w:bookmarkStart w:id="132" w:name="chuong_3_name"/>
      <w:r>
        <w:rPr>
          <w:b/>
          <w:bCs/>
          <w:sz w:val="24"/>
          <w:rtl w:val="0"/>
        </w:rPr>
        <w:t>KHẤU TRỪ, HOÀN THUẾ</w:t>
      </w:r>
      <w:bookmarkEnd w:id="132"/>
    </w:p>
    <w:p>
      <w:pPr>
        <w:bidi w:val="0"/>
        <w:spacing w:before="120" w:beforeAutospacing="0" w:after="280" w:afterAutospacing="1"/>
      </w:pPr>
      <w:bookmarkStart w:id="133" w:name="muc_1_3"/>
      <w:r>
        <w:rPr>
          <w:b/>
          <w:bCs/>
          <w:rtl w:val="0"/>
        </w:rPr>
        <w:t>Mục 1. NGUYÊN TẮC KHẤU TRỪ THUẾ GIÁ TRỊ GIA TĂNG ĐẦU VÀO</w:t>
      </w:r>
      <w:bookmarkEnd w:id="133"/>
    </w:p>
    <w:p>
      <w:pPr>
        <w:bidi w:val="0"/>
        <w:spacing w:before="120" w:beforeAutospacing="0" w:after="280" w:afterAutospacing="1"/>
      </w:pPr>
      <w:bookmarkStart w:id="134" w:name="dieu_23"/>
      <w:r>
        <w:rPr>
          <w:b/>
          <w:bCs/>
          <w:rtl w:val="0"/>
        </w:rPr>
        <w:t>Điều 23. Khấu trừ thuế giá trị gia tăng</w:t>
      </w:r>
      <w:bookmarkEnd w:id="134"/>
    </w:p>
    <w:p>
      <w:pPr>
        <w:bidi w:val="0"/>
        <w:spacing w:before="120" w:beforeAutospacing="0" w:after="280" w:afterAutospacing="1"/>
      </w:pPr>
      <w:r>
        <w:rPr>
          <w:rtl w:val="0"/>
        </w:rPr>
        <w:t>1. Thuế giá trị gia tăng đầu vào của hàng hóa, dịch vụ sử dụng cho sản xuất, kinh doanh hàng hóa, dịch vụ chịu thuế giá trị gia tăng được khấu trừ toàn bộ kể cả thuế giá trị gia tăng đầu vào không được bồi thường của hàng hóa, dịch vụ chịu thuế giá trị gia tăng bị tổn thất, hàng hóa bị hao hụt tự nhiên do tính chất lý hóa trong quá trình vận chuyển. Cơ sở kinh doanh phải có đầy đủ hồ sơ, tài liệu chứng minh các trường hợp tổn thất không được bồi thường để khấu trừ thuế. Trường hợp pháp luật có quy định về định mức hao hụt tự nhiên thì cơ sở kinh doanh được khấu trừ số thuế giá trị gia tăng đầu vào của số lượng hàng hóa thực tế hao hụt tự nhiên không vượt quá định mức hao hụt theo quy định, số thuế giá trị gia tăng đầu vào của số lượng hàng hóa vượt định mức hao hụt không được khấu trừ thuế.</w:t>
      </w:r>
    </w:p>
    <w:p>
      <w:pPr>
        <w:bidi w:val="0"/>
        <w:spacing w:before="120" w:beforeAutospacing="0" w:after="280" w:afterAutospacing="1"/>
      </w:pPr>
      <w:bookmarkStart w:id="135" w:name="khoan_2_23"/>
      <w:r>
        <w:rPr>
          <w:rtl w:val="0"/>
        </w:rPr>
        <w:t>2. Thuế giá trị gia tăng đầu vào của hàng hóa (bao gồm cả tài sản cố định), dịch vụ sử dụng đồng thời cho sản xuất, kinh doanh hàng hóa, dịch vụ chịu thuế và không chịu thuế thì chỉ được khấu trừ số thuế giá trị gia tăng đầu vào của hàng hóa, dịch vụ sử dụng cho sản xuất, kinh doanh hàng hóa, dịch vụ chịu thuế giá trị gia tăng. Cơ sở kinh doanh phải hạch toán riêng thuế giá trị gia tăng đầu vào được</w:t>
      </w:r>
      <w:bookmarkEnd w:id="135"/>
      <w:r>
        <w:rPr>
          <w:rtl w:val="0"/>
        </w:rPr>
        <w:t xml:space="preserve"> </w:t>
      </w:r>
      <w:bookmarkStart w:id="136" w:name="khoan_2_23_name"/>
      <w:r>
        <w:rPr>
          <w:rtl w:val="0"/>
        </w:rPr>
        <w:t>khấu trừ và không được khấu trừ; trường hợp không hạch toán riêng được thì số thuế giá trị gia tăng đầu vào được khấu trừ tính theo tỷ lệ % giữa doanh thu của hàng hóa, dịch vụ chịu thuế giá trị gia tăng so với tổng doanh thu hàng hóa, dịch vụ bán ra trong kỳ tính thuế. Trong đó:</w:t>
      </w:r>
      <w:bookmarkEnd w:id="136"/>
    </w:p>
    <w:p>
      <w:pPr>
        <w:bidi w:val="0"/>
        <w:spacing w:before="120" w:beforeAutospacing="0" w:after="280" w:afterAutospacing="1"/>
      </w:pPr>
      <w:bookmarkStart w:id="137" w:name="diem_a_2_23"/>
      <w:r>
        <w:rPr>
          <w:rtl w:val="0"/>
        </w:rPr>
        <w:t>a) Tổng doanh thu của hàng hóa, dịch vụ bán ra bao gồm doanh thu của hàng hóa, dịch vụ chịu thuế giá trị gia tăng; doanh thu của hàng hóa, dịch vụ không chịu thuế giá trị gia tăng; giá trị gia tăng của hoạt động mua, bán, chế tác vàng, bạc, đá quý (trừ trường hợp giá trị gia tăng âm (-)) và doanh thu của hàng hóa, dịch vụ quy định tại</w:t>
      </w:r>
      <w:bookmarkEnd w:id="137"/>
      <w:r>
        <w:rPr>
          <w:rtl w:val="0"/>
        </w:rPr>
        <w:t xml:space="preserve"> </w:t>
      </w:r>
      <w:bookmarkStart w:id="138" w:name="tc_9"/>
      <w:r>
        <w:rPr>
          <w:rtl w:val="0"/>
        </w:rPr>
        <w:t>khoản 2 Điều 40 Nghị định này</w:t>
      </w:r>
      <w:bookmarkEnd w:id="138"/>
      <w:r>
        <w:rPr>
          <w:rtl w:val="0"/>
        </w:rPr>
        <w:t xml:space="preserve"> </w:t>
      </w:r>
      <w:bookmarkStart w:id="139" w:name="diem_a_2_23_name"/>
      <w:r>
        <w:rPr>
          <w:rtl w:val="0"/>
        </w:rPr>
        <w:t>(nếu có). Riêng hoạt động kinh doanh ngoại tệ, mua bán chứng khoán thì doanh thu là chênh lệch giữa giá bán và giá mua (trừ trường hợp chênh lệch âm (-)).</w:t>
      </w:r>
      <w:bookmarkEnd w:id="139"/>
    </w:p>
    <w:p>
      <w:pPr>
        <w:bidi w:val="0"/>
        <w:spacing w:before="120" w:beforeAutospacing="0" w:after="280" w:afterAutospacing="1"/>
      </w:pPr>
      <w:r>
        <w:rPr>
          <w:rtl w:val="0"/>
        </w:rPr>
        <w:t>b) Đối với dự án đầu tư, vừa đầu tư vào sản xuất, kinh doanh hàng hóa, dịch vụ chịu thuế giá trị gia tăng, vừa đầu tư vào sản xuất, kinh doanh hàng hóa, dịch vụ không chịu thuế giá trị gia tăng thì số thuế giá trị gia tăng đầu vào của tài sản cố định trong giai đoạn đầu tư xây dựng cơ bản được tạm khấu trừ theo tỷ lệ (%) giữa doanh thu của hàng hóa, dịch vụ chịu thuế giá trị gia tăng so với tổng doanh thu của hàng hóa, dịch vụ bán ra theo phương án sản xuất, kinh doanh của cơ sở kinh doanh, số thuế tạm khấu trừ được điều chỉnh theo tỷ lệ (%) giữa doanh thu của hàng hóa, dịch vụ chịu thuế giá trị gia tăng so với tổng doanh thu của hàng hóa, dịch vụ bán ra trong 03 năm kể từ năm đầu tiên có doanh thu. Trường hợp sau khi điều chỉnh số thuế giá trị gia tăng được khấu trừ dẫn đến giảm số thuế giá trị gia tăng đã được hoàn (nếu có) thì phải nộp lại số thuế giá trị gia tăng chênh lệch do điều chỉnh giảm vào ngân sách nhà nước theo quy định của pháp luật về quản lý thuế. Cơ sở kinh doanh không bị xử phạt vi phạm hành chính về thuế đối với số thuế giá trị gia tăng chênh lệch do điều chỉnh giảm.</w:t>
      </w:r>
    </w:p>
    <w:p>
      <w:pPr>
        <w:bidi w:val="0"/>
        <w:spacing w:before="120" w:beforeAutospacing="0" w:after="280" w:afterAutospacing="1"/>
      </w:pPr>
      <w:r>
        <w:rPr>
          <w:rtl w:val="0"/>
        </w:rPr>
        <w:t>3. Thuế giá trị gia tăng đầu vào của hàng hóa, dịch vụ bán cho tổ chức, cá nhân sử dụng vốn viện trợ nhân đạo, viện trợ không hoàn lại được khấu trừ toàn bộ.</w:t>
      </w:r>
    </w:p>
    <w:p>
      <w:pPr>
        <w:bidi w:val="0"/>
        <w:spacing w:before="120" w:beforeAutospacing="0" w:after="280" w:afterAutospacing="1"/>
      </w:pPr>
      <w:r>
        <w:rPr>
          <w:rtl w:val="0"/>
        </w:rPr>
        <w:t>4. Thuế giá trị gia tăng đầu vào của hàng hóa, dịch vụ sử dụng cho hoạt động tìm kiếm thăm dò, phát triển mỏ dầu khí được khấu trừ toàn bộ.</w:t>
      </w:r>
    </w:p>
    <w:p>
      <w:pPr>
        <w:bidi w:val="0"/>
        <w:spacing w:before="120" w:beforeAutospacing="0" w:after="280" w:afterAutospacing="1"/>
      </w:pPr>
      <w:r>
        <w:rPr>
          <w:rtl w:val="0"/>
        </w:rPr>
        <w:t>5. Thuế giá trị gia tăng đầu vào phát sinh trong tháng, quý nào được kê khai, khấu trừ khi xác định số thuế phải nộp của tháng, quý đó, không phân biệt đã xuất dùng hay còn để trong kho. Số thuế giá trị gia tăng đầu vào chưa được khấu trừ hết trong tháng, quý thì được khấu trừ vào tháng, quý tiếp theo.</w:t>
      </w:r>
    </w:p>
    <w:p>
      <w:pPr>
        <w:bidi w:val="0"/>
        <w:spacing w:before="120" w:beforeAutospacing="0" w:after="280" w:afterAutospacing="1"/>
      </w:pPr>
      <w:bookmarkStart w:id="140" w:name="khoan_6_23"/>
      <w:r>
        <w:rPr>
          <w:rtl w:val="0"/>
        </w:rPr>
        <w:t>6. Trường hợp cơ sở kinh doanh phát hiện số thuế giá trị gia tăng đầu vào khi kê khai, khấu trừ bị sai, sót thì được khai thuế trước khi cơ quan thuế, cơ quan có thẩm quyền công bố quyết định kiểm tra thuế, thanh tra thuế như sau:</w:t>
      </w:r>
      <w:bookmarkEnd w:id="140"/>
    </w:p>
    <w:p>
      <w:pPr>
        <w:bidi w:val="0"/>
        <w:spacing w:before="120" w:beforeAutospacing="0" w:after="280" w:afterAutospacing="1"/>
      </w:pPr>
      <w:r>
        <w:rPr>
          <w:rtl w:val="0"/>
        </w:rPr>
        <w:t>a) Người nộp thuế thực hiện khai bổ sung vào tháng, quý phát sinh số thuế giá trị gia tăng đầu vào bị sai, sót nếu việc khai thuế vào tháng, quý phát sinh số thuế giá trị gia tăng đầu vào bị sai, sót làm tăng số thuế phải nộp hoặc giảm số thuế được hoàn của tháng, quý đó; người nộp thuế phải nộp đủ số tiền thuế phải nộp tăng thêm hoặc bị thu hồi số tiền thuế đã được hoàn tương ứng và nộp tiền chậm nộp vào ngân sách nhà nước (nếu có).</w:t>
      </w:r>
    </w:p>
    <w:p>
      <w:pPr>
        <w:bidi w:val="0"/>
        <w:spacing w:before="120" w:beforeAutospacing="0" w:after="280" w:afterAutospacing="1"/>
      </w:pPr>
      <w:r>
        <w:rPr>
          <w:rtl w:val="0"/>
        </w:rPr>
        <w:t>b) Người nộp thuế thực hiện khai vào tháng, quý phát hiện sai, sót nếu việc khai thuế được thực hiện vào tháng, quý phát sinh thuế giá trị gia tăng đầu vào bị sai, sót làm giảm số tiền thuế phải nộp hoặc chỉ làm tăng hoặc giảm số thuế giá trị gia tăng còn được khấu trừ chuyển sang tháng, quý sau.</w:t>
      </w:r>
    </w:p>
    <w:p>
      <w:pPr>
        <w:bidi w:val="0"/>
        <w:spacing w:before="120" w:beforeAutospacing="0" w:after="280" w:afterAutospacing="1"/>
      </w:pPr>
      <w:r>
        <w:rPr>
          <w:rtl w:val="0"/>
        </w:rPr>
        <w:t>7. Thuế giá trị gia tăng đầu vào của hàng hóa (kể cả hàng hóa mua ngoài hoặc hàng hóa do cơ sở kinh doanh tự sản xuất) mà cơ sở kinh doanh sử dụng để cho, biếu, tặng, khuyến mại, quảng cáo thì được khấu trừ.</w:t>
      </w:r>
    </w:p>
    <w:p>
      <w:pPr>
        <w:bidi w:val="0"/>
        <w:spacing w:before="120" w:beforeAutospacing="0" w:after="280" w:afterAutospacing="1"/>
      </w:pPr>
      <w:r>
        <w:rPr>
          <w:rtl w:val="0"/>
        </w:rPr>
        <w:t>8. Số thuế giá trị gia tăng đã nộp theo Quyết định ấn định thuế của cơ quan hải quan được khấu trừ toàn bộ, trừ trường hợp cơ quan hải quan xử phạt về gian lận, trốn thuế.</w:t>
      </w:r>
    </w:p>
    <w:p>
      <w:pPr>
        <w:bidi w:val="0"/>
        <w:spacing w:before="120" w:beforeAutospacing="0" w:after="280" w:afterAutospacing="1"/>
      </w:pPr>
      <w:r>
        <w:rPr>
          <w:rtl w:val="0"/>
        </w:rPr>
        <w:t>9. Cơ sở kinh doanh giao cho Ban Quản lý dự án, chi nhánh trực tiếp thực hiện, quản lý dự án đầu tư, kê khai thuế giá trị gia tăng đối với dự án đầu tư, cơ sở kinh doanh thực hiện chi hộ một số khoản chi phí để thực hiện dự án đầu tư thì Ban Quản lý dự án, chi nhánh được khấu trừ thuế giá trị gia tăng đầu vào theo hóa đơn giá trị gia tăng đứng tên cơ sở kinh doanh. Cơ sở kinh doanh không được khấu trừ thuế giá trị gia tăng đầu vào đối với hóa đơn giá trị gia tăng mà Ban Quản lý dự án, chi nhánh đã kê khai, khấu trừ.</w:t>
      </w:r>
    </w:p>
    <w:p>
      <w:pPr>
        <w:bidi w:val="0"/>
        <w:spacing w:before="120" w:beforeAutospacing="0" w:after="280" w:afterAutospacing="1"/>
      </w:pPr>
      <w:r>
        <w:rPr>
          <w:rtl w:val="0"/>
        </w:rPr>
        <w:t>10. Cơ sở kinh doanh nộp thuế giá trị gia tăng theo phương pháp tính trực tiếp khi chuyển sang nộp thuế theo phương pháp khấu trừ thuế được khấu trừ thuế giá trị gia tăng của hàng hóa, dịch vụ mua vào phát sinh kể từ kỳ đầu tiên kê khai, nộp thuế theo phương pháp khấu trừ thuế.</w:t>
      </w:r>
    </w:p>
    <w:p>
      <w:pPr>
        <w:bidi w:val="0"/>
        <w:spacing w:before="120" w:beforeAutospacing="0" w:after="280" w:afterAutospacing="1"/>
      </w:pPr>
      <w:r>
        <w:rPr>
          <w:rtl w:val="0"/>
        </w:rPr>
        <w:t>11. Cơ sở kinh doanh nộp thuế giá trị gia tăng theo phương pháp khấu trừ thuế khi chuyển sang nộp thuế theo phương pháp tính trực tiếp được tính số thuế giá trị gia tăng của hàng hóa, dịch vụ mua vào phát sinh trong thời gian nộp thuế theo phương pháp khấu trừ thuế mà chưa khấu trừ hết tại kỳ tính thuế cuối cùng trước khi chuyển đổi phương pháp tính thuế vào chi phí để tính thuế thu nhập doanh nghiệp hoặc được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bidi w:val="0"/>
        <w:spacing w:before="120" w:beforeAutospacing="0" w:after="280" w:afterAutospacing="1"/>
      </w:pPr>
      <w:bookmarkStart w:id="141" w:name="khoan_12_23"/>
      <w:r>
        <w:rPr>
          <w:rtl w:val="0"/>
        </w:rPr>
        <w:t>12. Đối với hàng hóa, dịch vụ chuyển từ đối tượng không chịu thuế giá trị gia tăng sang đối tượng chịu thuế giá trị gia tăng theo quy định tại</w:t>
      </w:r>
      <w:bookmarkEnd w:id="141"/>
      <w:r>
        <w:rPr>
          <w:rtl w:val="0"/>
        </w:rPr>
        <w:t xml:space="preserve"> </w:t>
      </w:r>
      <w:bookmarkStart w:id="142" w:name="tvpllink_cfonnkiqjn_1"/>
      <w:r>
        <w:rPr>
          <w:rtl w:val="0"/>
        </w:rPr>
        <w:t>Luật Thuế giá trị gia tăng</w:t>
      </w:r>
      <w:bookmarkEnd w:id="142"/>
      <w:r>
        <w:rPr>
          <w:rtl w:val="0"/>
        </w:rPr>
        <w:t xml:space="preserve">, </w:t>
      </w:r>
      <w:bookmarkStart w:id="143" w:name="khoan_12_23_name"/>
      <w:r>
        <w:rPr>
          <w:rtl w:val="0"/>
        </w:rPr>
        <w:t>cơ sở kinh doanh chỉ được kê khai, khấu trừ thuế giá trị gia tăng đầu vào của hàng hóa, dịch vụ sử dụng cho sản xuất, kinh doanh hàng hóa, dịch vụ chịu thuế giá trị gia tăng phát sinh từ ngày 01 tháng 7 năm 2025.</w:t>
      </w:r>
      <w:bookmarkEnd w:id="143"/>
    </w:p>
    <w:p>
      <w:pPr>
        <w:bidi w:val="0"/>
        <w:spacing w:before="120" w:beforeAutospacing="0" w:after="280" w:afterAutospacing="1"/>
      </w:pPr>
      <w:r>
        <w:rPr>
          <w:rtl w:val="0"/>
        </w:rPr>
        <w:t>13. Cơ sở kinh doanh không được khấu trừ đối với thuế giá trị gia tăng đầu vào của tài sản cố định, máy móc, thiết bị trong các trường hợp sau:</w:t>
      </w:r>
    </w:p>
    <w:p>
      <w:pPr>
        <w:bidi w:val="0"/>
        <w:spacing w:before="120" w:beforeAutospacing="0" w:after="280" w:afterAutospacing="1"/>
      </w:pPr>
      <w:r>
        <w:rPr>
          <w:rtl w:val="0"/>
        </w:rPr>
        <w:t>a) Tài sản cố định, máy móc, thiết bị chuyên dùng phục vụ sản xuất sản phẩm quốc phòng, an ninh.</w:t>
      </w:r>
    </w:p>
    <w:p>
      <w:pPr>
        <w:bidi w:val="0"/>
        <w:spacing w:before="120" w:beforeAutospacing="0" w:after="280" w:afterAutospacing="1"/>
      </w:pPr>
      <w:r>
        <w:rPr>
          <w:rtl w:val="0"/>
        </w:rPr>
        <w:t>b) Tài sản cố định, máy móc, thiết bị của các tổ chức tín dụng, doanh nghiệp kinh doanh tái bảo hiểm, bảo hiểm nhân thọ, kinh doanh chứng khoán, cơ sở khám, chữa bệnh, cơ sở đào tạo.</w:t>
      </w:r>
    </w:p>
    <w:p>
      <w:pPr>
        <w:bidi w:val="0"/>
        <w:spacing w:before="120" w:beforeAutospacing="0" w:after="280" w:afterAutospacing="1"/>
      </w:pPr>
      <w:r>
        <w:rPr>
          <w:rtl w:val="0"/>
        </w:rPr>
        <w:t>c) Máy bay, trực thăng, tàu lượn dân dụng, du thuyền không sử dụng cho mục đích kinh doanh vận chuyển hàng hóa, hành khách, kinh doanh du lịch, khách sạn.</w:t>
      </w:r>
    </w:p>
    <w:p>
      <w:pPr>
        <w:bidi w:val="0"/>
        <w:spacing w:before="120" w:beforeAutospacing="0" w:after="280" w:afterAutospacing="1"/>
      </w:pPr>
      <w:r>
        <w:rPr>
          <w:rtl w:val="0"/>
        </w:rPr>
        <w:t>Việc không được khấu trừ quy định tại khoản này bao gồm cả thuế giá trị gia tăng đầu vào của hoạt động đi thuê và các chi phí sửa chữa tài sản cố định, máy móc, thiết bị (nếu có).</w:t>
      </w:r>
    </w:p>
    <w:p>
      <w:pPr>
        <w:bidi w:val="0"/>
        <w:spacing w:before="120" w:beforeAutospacing="0" w:after="280" w:afterAutospacing="1"/>
      </w:pPr>
      <w:r>
        <w:rPr>
          <w:rtl w:val="0"/>
        </w:rPr>
        <w:t>14. Văn phòng Tổng công ty, tập đoàn không trực tiếp hoạt động kinh doanh và các đơn vị hành chính sự nghiệp trực thuộc như: bệnh viện, trạm xá, nhà nghỉ điều dưỡng, viện, trường đào tạo,... không phải là người nộp thuế giá trị gia tăng thì không được khấu trừ thuế giá trị gia tăng đầu vào của hàng hóa, dịch vụ mua vào phục vụ cho hoạt động của các đơn vị này. Trường hợp các đơn vị này có hoạt động kinh doanh hàng hóa, dịch vụ chịu thuế giá trị gia tăng thì phải đăng ký, kê khai nộp thuế giá trị gia tăng riêng cho các hoạt động kinh doanh hàng hóa, dịch vụ chịu thuế giá trị gia tăng.</w:t>
      </w:r>
    </w:p>
    <w:p>
      <w:pPr>
        <w:bidi w:val="0"/>
        <w:spacing w:before="120" w:beforeAutospacing="0" w:after="280" w:afterAutospacing="1"/>
      </w:pPr>
      <w:r>
        <w:rPr>
          <w:rtl w:val="0"/>
        </w:rPr>
        <w:t xml:space="preserve">15. Cơ sở kinh doanh không đáp ứng quy định về khấu trừ thuế tại Mục 1, Mục 2 Chương III Nghị định này và các hóa đơn, chứng từ được lập từ các hành vi bị nghiêm cấm tại </w:t>
      </w:r>
      <w:bookmarkStart w:id="144" w:name="dc_23"/>
      <w:r>
        <w:rPr>
          <w:rtl w:val="0"/>
        </w:rPr>
        <w:t>Điều 13 Luật Thuế giá trị gia tăng</w:t>
      </w:r>
      <w:bookmarkEnd w:id="144"/>
      <w:r>
        <w:rPr>
          <w:rtl w:val="0"/>
        </w:rPr>
        <w:t xml:space="preserve"> thì không được khấu trừ thuế giá trị gia tăng.</w:t>
      </w:r>
    </w:p>
    <w:p>
      <w:pPr>
        <w:bidi w:val="0"/>
        <w:spacing w:before="120" w:beforeAutospacing="0" w:after="280" w:afterAutospacing="1"/>
      </w:pPr>
      <w:r>
        <w:rPr>
          <w:rtl w:val="0"/>
        </w:rPr>
        <w:t>16. Đối với số thuế giá trị gia tăng đầu vào không được khấu trừ, cơ sở kinh doanh được tính vào chi phí để tính thuế thu nhập doanh nghiệp hoặc tính vào nguyên giá của tài sản cố định theo quy định của pháp luật về thuế thu nhập doanh nghiệp, trừ số thuế giá trị gia tăng của hàng hóa, dịch vụ mua vào từng lần có giá trị từ 05 triệu đồng trở lên không có chứng từ thanh toán không dùng tiền mặt.</w:t>
      </w:r>
    </w:p>
    <w:p>
      <w:pPr>
        <w:bidi w:val="0"/>
        <w:spacing w:before="120" w:beforeAutospacing="0" w:after="280" w:afterAutospacing="1"/>
      </w:pPr>
      <w:bookmarkStart w:id="145" w:name="dieu_24"/>
      <w:r>
        <w:rPr>
          <w:b/>
          <w:bCs/>
          <w:rtl w:val="0"/>
        </w:rPr>
        <w:t>Điều 24. Khấu trừ thuế giá trị gia tăng đối với một số trường hợp đặc thù</w:t>
      </w:r>
      <w:bookmarkEnd w:id="145"/>
    </w:p>
    <w:p>
      <w:pPr>
        <w:bidi w:val="0"/>
        <w:spacing w:before="120" w:beforeAutospacing="0" w:after="280" w:afterAutospacing="1"/>
      </w:pPr>
      <w:r>
        <w:rPr>
          <w:rtl w:val="0"/>
        </w:rPr>
        <w:t xml:space="preserve">Việc khấu trừ thuế giá trị gia tăng trong một số trường hợp quy định tại </w:t>
      </w:r>
      <w:bookmarkStart w:id="146" w:name="dc_24"/>
      <w:r>
        <w:rPr>
          <w:rtl w:val="0"/>
        </w:rPr>
        <w:t>điểm g khoản 1 Điều 14 Luật Thuế giá trị gia tăng</w:t>
      </w:r>
      <w:bookmarkEnd w:id="146"/>
      <w:r>
        <w:rPr>
          <w:rtl w:val="0"/>
        </w:rPr>
        <w:t xml:space="preserve"> thực hiện như sau:</w:t>
      </w:r>
    </w:p>
    <w:p>
      <w:pPr>
        <w:bidi w:val="0"/>
        <w:spacing w:before="120" w:beforeAutospacing="0" w:after="280" w:afterAutospacing="1"/>
      </w:pPr>
      <w:r>
        <w:rPr>
          <w:rtl w:val="0"/>
        </w:rPr>
        <w:t>1. Đối với hàng hóa, dịch vụ hình thành tài sản cố định phục vụ cho người lao động:</w:t>
      </w:r>
    </w:p>
    <w:p>
      <w:pPr>
        <w:bidi w:val="0"/>
        <w:spacing w:before="120" w:beforeAutospacing="0" w:after="280" w:afterAutospacing="1"/>
      </w:pPr>
      <w:r>
        <w:rPr>
          <w:rtl w:val="0"/>
        </w:rPr>
        <w:t>a) Thuế giá trị gia tăng đầu vào của hàng hóa, dịch vụ hình thành tài sản cố định phục vụ cho người lao động trong khu vực sản xuất, kinh doanh và nhà ở, trạm y tế cho công nhân làm việc trong các khu công nghiệp được khấu trừ toàn bộ.</w:t>
      </w:r>
    </w:p>
    <w:p>
      <w:pPr>
        <w:bidi w:val="0"/>
        <w:spacing w:before="120" w:beforeAutospacing="0" w:after="280" w:afterAutospacing="1"/>
      </w:pPr>
      <w:r>
        <w:rPr>
          <w:rtl w:val="0"/>
        </w:rPr>
        <w:t>b) Trường hợp cơ sở kinh doanh thuê nhà ở cho công nhân làm việc trong các khu công nghiệp thì thuế giá trị gia tăng đối với khoản tiền thuê nhà được khấu trừ theo quy định. Trường hợp cơ sở kinh doanh xây dựng hoặc mua nhà ở ngoài khu công nghiệp phục vụ cho công nhân làm việc trong các khu công nghiệp, nhà xây dựng hoặc nhà mua thì thuế giá trị gia tăng của nhà xây dựng, nhà mua phục vụ cho công nhân được khấu trừ toàn bộ. Nhà ở cho công nhân quy định tại điểm này phải đáp ứng điều kiện nhà ở cho công nhân trong khu công nghiệp theo quy định của pháp luật về nhà ở.</w:t>
      </w:r>
    </w:p>
    <w:p>
      <w:pPr>
        <w:bidi w:val="0"/>
        <w:spacing w:before="120" w:beforeAutospacing="0" w:after="280" w:afterAutospacing="1"/>
      </w:pPr>
      <w:r>
        <w:rPr>
          <w:rtl w:val="0"/>
        </w:rPr>
        <w:t>c) Trường hợp các chuyên gia nước ngoài vẫn là nhân viên của doanh nghiệp ở nước ngoài, chịu sự điều động của doanh nghiệp ở nước ngoài, được doanh nghiệp ở nước ngoài trả lương và hưởng các chế độ của doanh nghiệp ở nước ngoài trong thời gian sang Việt Nam công tác, giữa doanh nghiệp ở nước ngoài và cơ sở kinh doanh tại Việt Nam có hợp đồng bằng văn bản nêu rõ cơ sở kinh doanh tại Việt Nam phải chịu các chi phí về chỗ ở cho các chuyên gia nước ngoài trong thời gian công tác ở Việt Nam thì thuế giá trị gia tăng của khoản tiền thuê nhà cho các chuyên gia nước ngoài làm việc tại Việt Nam do cơ sở kinh doanh tại Việt Nam chi trả được khấu trừ; trường hợp cơ sở kinh doanh có các chuyên gia nước ngoài sang Việt Nam công tác, giữ các chức vụ quản lý tại Việt Nam, hưởng lương tại Việt Nam theo hợp đồng lao động ký với cơ sở kinh doanh tại Việt Nam thì cơ sở kinh doanh không được khấu trừ thuế giá trị gia tăng của khoản tiền thuê nhà cho các chuyên gia nước ngoài này.</w:t>
      </w:r>
    </w:p>
    <w:p>
      <w:pPr>
        <w:bidi w:val="0"/>
        <w:spacing w:before="120" w:beforeAutospacing="0" w:after="280" w:afterAutospacing="1"/>
      </w:pPr>
      <w:r>
        <w:rPr>
          <w:rtl w:val="0"/>
        </w:rPr>
        <w:t>2. Đối với trường hợp góp vốn bằng tài sản trong đó tài sản góp vốn là tài sản mới mua, chưa sử dụng, có hóa đơn hợp pháp được hội đồng giao nhận vốn góp chấp nhận thì trị giá vốn góp được xác định theo trị giá ghi trên hóa đơn bao gồm cả thuế giá trị gia tăng. Bên nhận vốn góp được khấu trừ thuế giá trị gia tăng ghi trên hóa đơn mua tài sản của bên góp vốn.</w:t>
      </w:r>
    </w:p>
    <w:p>
      <w:pPr>
        <w:bidi w:val="0"/>
        <w:spacing w:before="120" w:beforeAutospacing="0" w:after="280" w:afterAutospacing="1"/>
      </w:pPr>
      <w:r>
        <w:rPr>
          <w:rtl w:val="0"/>
        </w:rPr>
        <w:t>3. Đối với hàng hóa, dịch vụ mua vào dưới hình thức ủy quyền, cơ sở kinh doanh được khấu trừ thuế giá trị gia tăng của hàng hóa, dịch vụ mua vào dưới hình thức ủy quyền cho tổ chức, cá nhân khác mà hóa đơn mang tên tổ chức, cá nhân được ủy quyền bao gồm các trường hợp sau đây:</w:t>
      </w:r>
    </w:p>
    <w:p>
      <w:pPr>
        <w:bidi w:val="0"/>
        <w:spacing w:before="120" w:beforeAutospacing="0" w:after="280" w:afterAutospacing="1"/>
      </w:pPr>
      <w:r>
        <w:rPr>
          <w:rtl w:val="0"/>
        </w:rPr>
        <w:t>a) Doanh nghiệp bảo hiểm ủy quyền cho người tham gia bảo hiểm sửa chữa tài sản; chi phí sửa chữa tài sản cùng các vật tư, phụ tùng thay thế có hóa đơn giá trị gia tăng ghi tên người tham gia bảo hiểm, doanh nghiệp bảo hiểm thực hiện thanh toán cho người tham gia bảo hiểm phí bảo hiểm tương ứng theo hợp đồng bảo hiểm thì doanh nghiệp bảo hiểm được khấu trừ thuế giá trị gia tăng tương ứng với phần bồi thường bảo hiểm thanh toán theo hóa đơn giá trị gia tăng đứng tên người tham gia bảo hiểm; trường hợp phần bồi thường bảo hiểm do doanh nghiệp bảo hiểm thanh toán cho người tham gia bảo hiểm có giá trị từ 05 triệu đồng trở lên thì phải thực hiện thanh toán không dùng tiền mặt.</w:t>
      </w:r>
    </w:p>
    <w:p>
      <w:pPr>
        <w:bidi w:val="0"/>
        <w:spacing w:before="120" w:beforeAutospacing="0" w:after="280" w:afterAutospacing="1"/>
      </w:pPr>
      <w:r>
        <w:rPr>
          <w:rtl w:val="0"/>
        </w:rPr>
        <w:t>b) Trước khi thành lập doanh nghiệp, các sáng lập viên có văn bản ủy quyền cho tổ chức, cá nhân thực hiện chi hộ một số khoản chi mua sắm hàng hóa, vật tư và chi phí khác liên quan đến việc thành lập doanh nghiệp thì doanh nghiệp được khấu trừ thuế giá trị gia tăng đầu vào theo hóa đơn giá trị gia tăng đứng tên tổ chức, cá nhân được ủy quyền và phải thực hiện thanh toán không dùng tiền mặt cho tổ chức, cá nhân được ủy quyền đối với những hóa đơn có giá trị từ 05 triệu đồng trở lên.</w:t>
      </w:r>
    </w:p>
    <w:p>
      <w:pPr>
        <w:bidi w:val="0"/>
        <w:spacing w:before="120" w:beforeAutospacing="0" w:after="280" w:afterAutospacing="1"/>
      </w:pPr>
      <w:r>
        <w:rPr>
          <w:rtl w:val="0"/>
        </w:rPr>
        <w:t>4. Đối với tài sản cố định là ô tô chở người từ 09 chỗ ngồi trở xuống (trừ ô tô sử dụng vào kinh doanh vận chuyển hàng hóa, hành khách, kinh doanh du lịch, khách sạn; ô tô dùng để làm mẫu và lái thử cho kinh doanh ô tô) có trị giá vượt trên 1,6 tỷ đồng (giá chưa có thuế giá trị gia tăng) thì số thuế giá trị gia tăng đầu vào được khấu trừ tương ứng với phần trị giá đến 1,6 tỷ đồng.</w:t>
      </w:r>
    </w:p>
    <w:p>
      <w:pPr>
        <w:bidi w:val="0"/>
        <w:spacing w:before="120" w:beforeAutospacing="0" w:after="280" w:afterAutospacing="1"/>
      </w:pPr>
      <w:r>
        <w:rPr>
          <w:rtl w:val="0"/>
        </w:rPr>
        <w:t>5. Đối với cơ sở sản xuất, kinh doanh tổ chức sản xuất khép kín, hạch toán tập trung có sử dụng sản phẩm thuộc đối tượng không chịu thuế giá trị gia tăng qua các khâu để sản xuất ra mặt hàng chịu thuế giá trị gia tăng thì số thuế giá trị gia tăng đầu vào tại các khâu được khấu trừ toàn bộ.</w:t>
      </w:r>
    </w:p>
    <w:p>
      <w:pPr>
        <w:bidi w:val="0"/>
        <w:spacing w:before="120" w:beforeAutospacing="0" w:after="280" w:afterAutospacing="1"/>
      </w:pPr>
      <w:bookmarkStart w:id="147" w:name="muc_2_3"/>
      <w:r>
        <w:rPr>
          <w:b/>
          <w:bCs/>
          <w:color w:val="000000"/>
          <w:rtl w:val="0"/>
        </w:rPr>
        <w:t>Mục 2. ĐIỀU KIỆN KHẤU TRỪ THUẾ GIÁ TRỊ GIA TĂNG ĐẦU VÀO</w:t>
      </w:r>
      <w:bookmarkEnd w:id="147"/>
    </w:p>
    <w:p>
      <w:pPr>
        <w:bidi w:val="0"/>
        <w:spacing w:before="120" w:beforeAutospacing="0" w:after="280" w:afterAutospacing="1"/>
      </w:pPr>
      <w:bookmarkStart w:id="148" w:name="dieu_25"/>
      <w:r>
        <w:rPr>
          <w:b/>
          <w:bCs/>
          <w:color w:val="000000"/>
          <w:rtl w:val="0"/>
        </w:rPr>
        <w:t>Điều 25. Hóa đơn, chứng từ nộp thuế</w:t>
      </w:r>
      <w:bookmarkEnd w:id="148"/>
    </w:p>
    <w:p>
      <w:pPr>
        <w:bidi w:val="0"/>
        <w:spacing w:before="120" w:beforeAutospacing="0" w:after="280" w:afterAutospacing="1"/>
      </w:pPr>
      <w:r>
        <w:rPr>
          <w:color w:val="000000"/>
          <w:rtl w:val="0"/>
        </w:rPr>
        <w:t xml:space="preserve">Cơ sở kinh doanh phải có hóa đơn giá trị gia tăng của hàng hóa, dịch vụ mua vào hoặc chứng từ nộp thuế giá trị gia tăng ở khâu nhập khẩu hoặc chứng từ nộp thuế giá trị gia tăng thay cho phía nước ngoài theo quy định tại </w:t>
      </w:r>
      <w:bookmarkStart w:id="149" w:name="dc_25"/>
      <w:r>
        <w:rPr>
          <w:color w:val="000000"/>
          <w:rtl w:val="0"/>
        </w:rPr>
        <w:t>điểm a khoản 2 Điều 14 Luật Thuế giá trị gia tăng</w:t>
      </w:r>
      <w:bookmarkEnd w:id="149"/>
      <w:r>
        <w:rPr>
          <w:color w:val="000000"/>
          <w:rtl w:val="0"/>
        </w:rPr>
        <w:t xml:space="preserve"> (bao gồm cả chứng từ nộp thuế giá trị gia tăng theo tỷ lệ </w:t>
      </w:r>
      <w:r>
        <w:rPr>
          <w:i/>
          <w:iCs/>
          <w:color w:val="000000"/>
          <w:rtl w:val="0"/>
        </w:rPr>
        <w:t>%</w:t>
      </w:r>
      <w:r>
        <w:rPr>
          <w:color w:val="000000"/>
          <w:rtl w:val="0"/>
        </w:rPr>
        <w:t xml:space="preserve"> nhân với doanh thu thay cho phía nước ngoài).</w:t>
      </w:r>
    </w:p>
    <w:p>
      <w:pPr>
        <w:bidi w:val="0"/>
        <w:spacing w:before="120" w:beforeAutospacing="0" w:after="280" w:afterAutospacing="1"/>
      </w:pPr>
      <w:bookmarkStart w:id="150" w:name="dieu_26"/>
      <w:r>
        <w:rPr>
          <w:b/>
          <w:bCs/>
          <w:color w:val="000000"/>
          <w:rtl w:val="0"/>
        </w:rPr>
        <w:t>Điều 26. Chứng từ thanh toán không dùng tiền mặt</w:t>
      </w:r>
      <w:bookmarkEnd w:id="150"/>
    </w:p>
    <w:p>
      <w:pPr>
        <w:bidi w:val="0"/>
        <w:spacing w:before="120" w:beforeAutospacing="0" w:after="280" w:afterAutospacing="1"/>
      </w:pPr>
      <w:r>
        <w:rPr>
          <w:color w:val="000000"/>
          <w:rtl w:val="0"/>
        </w:rPr>
        <w:t>Cơ sở kinh doanh phải có chứng từ thanh toán không dùng tiền mặt đối với hàng hóa, dịch vụ mua vào (bao gồm cả hàng hóa nhập khẩu) từ 05 triệu đồng trở lên đã bao gồm thuế giá trị gia tăng. Trong đó:</w:t>
      </w:r>
    </w:p>
    <w:p>
      <w:pPr>
        <w:bidi w:val="0"/>
        <w:spacing w:before="120" w:beforeAutospacing="0" w:after="280" w:afterAutospacing="1"/>
      </w:pPr>
      <w:r>
        <w:rPr>
          <w:color w:val="000000"/>
          <w:rtl w:val="0"/>
        </w:rPr>
        <w:t xml:space="preserve">1. Chứng từ thanh toán không dùng tiền mặt là chứng từ chứng minh việc thanh toán không dùng tiền mặt theo quy định của Nghị định số </w:t>
      </w:r>
      <w:bookmarkStart w:id="151" w:name="tvpllink_cucdgkxpcm"/>
      <w:r>
        <w:rPr>
          <w:color w:val="000000"/>
          <w:rtl w:val="0"/>
        </w:rPr>
        <w:t>52/2024/NĐ-CP</w:t>
      </w:r>
      <w:bookmarkEnd w:id="151"/>
      <w:r>
        <w:rPr>
          <w:color w:val="000000"/>
          <w:rtl w:val="0"/>
        </w:rPr>
        <w:t xml:space="preserve"> ngày 15 tháng 5 năm 2024 của Chính phủ về thanh toán không dùng tiền mặt, trừ các chứng từ bên mua nộp tiền mặt vào tài khoản của bên bán.</w:t>
      </w:r>
    </w:p>
    <w:p>
      <w:pPr>
        <w:bidi w:val="0"/>
        <w:spacing w:before="120" w:beforeAutospacing="0" w:after="280" w:afterAutospacing="1"/>
      </w:pPr>
      <w:bookmarkStart w:id="152" w:name="khoan_2_26"/>
      <w:r>
        <w:rPr>
          <w:color w:val="000000"/>
          <w:rtl w:val="0"/>
        </w:rPr>
        <w:t>2. Một số trường hợp đặc thù theo quy định tại</w:t>
      </w:r>
      <w:bookmarkEnd w:id="152"/>
      <w:r>
        <w:rPr>
          <w:color w:val="000000"/>
          <w:rtl w:val="0"/>
        </w:rPr>
        <w:t xml:space="preserve"> </w:t>
      </w:r>
      <w:bookmarkStart w:id="153" w:name="dc_26"/>
      <w:r>
        <w:rPr>
          <w:color w:val="000000"/>
          <w:rtl w:val="0"/>
        </w:rPr>
        <w:t>điểm b khoản 2 Điều 14 Luật Thuế giá trị gia tăng</w:t>
      </w:r>
      <w:bookmarkEnd w:id="153"/>
      <w:r>
        <w:rPr>
          <w:color w:val="000000"/>
          <w:rtl w:val="0"/>
        </w:rPr>
        <w:t xml:space="preserve"> </w:t>
      </w:r>
      <w:bookmarkStart w:id="154" w:name="khoan_2_26_name"/>
      <w:r>
        <w:rPr>
          <w:color w:val="000000"/>
          <w:rtl w:val="0"/>
        </w:rPr>
        <w:t>bao gồm:</w:t>
      </w:r>
      <w:bookmarkEnd w:id="154"/>
    </w:p>
    <w:p>
      <w:pPr>
        <w:bidi w:val="0"/>
        <w:spacing w:before="120" w:beforeAutospacing="0" w:after="280" w:afterAutospacing="1"/>
      </w:pPr>
      <w:r>
        <w:rPr>
          <w:color w:val="000000"/>
          <w:rtl w:val="0"/>
        </w:rPr>
        <w:t>a) Trường hợp hàng hóa, dịch vụ mua vào theo phương thức thanh toán bù trừ giữa giá trị hàng hóa, dịch vụ mua vào với giá trị hàng hóa, dịch vụ bán ra, vay mượn hàng mà phương thức thanh toán này được quy định cụ thể trong hợp đồng thì phải có biên bản đối chiếu số liệu và xác nhận giữa hai bên về việc thanh toán bù trừ giữa hàng hóa, dịch vụ mua vào với hàng hóa, dịch vụ bán ra, vay mượn hàng. Trường hợp bù trừ công nợ qua bên thứ ba phải có biên bản bù trừ công nợ của ba bên làm căn cứ khấu trừ thuế.</w:t>
      </w:r>
    </w:p>
    <w:p>
      <w:pPr>
        <w:bidi w:val="0"/>
        <w:spacing w:before="120" w:beforeAutospacing="0" w:after="280" w:afterAutospacing="1"/>
      </w:pPr>
      <w:r>
        <w:rPr>
          <w:color w:val="000000"/>
          <w:rtl w:val="0"/>
        </w:rPr>
        <w:t>b) Trường hợp hàng hóa, dịch vụ mua vào theo phương thức bù trừ công nợ như vay, mượn tiền; cấn trừ công nợ qua bên thứ ba mà phương thức thanh toán này được quy định cụ thể trong hợp đồng thì phải có hợp đồng vay, mượn tiền dưới hình thức văn bản được lập trước đó và có chứng từ chuyển tiền từ tài khoản của bên cho vay, cho mượn sang tài khoản của bên đi vay, đi mượn đối với khoản vay, mượn bằng tiền bao gồm cả trường hợp bù trừ giữa giá trị hàng hóa, dịch vụ mua vào với khoản tiền mà bên bán hỗ trợ cho bên mua, hoặc nhờ bên mua chi hộ.</w:t>
      </w:r>
    </w:p>
    <w:p>
      <w:pPr>
        <w:bidi w:val="0"/>
        <w:spacing w:before="120" w:beforeAutospacing="0" w:after="280" w:afterAutospacing="1"/>
      </w:pPr>
      <w:r>
        <w:rPr>
          <w:color w:val="000000"/>
          <w:rtl w:val="0"/>
        </w:rPr>
        <w:t>c) Trường hợp hàng hóa, dịch vụ mua vào được thanh toán ủy quyền qua bên thứ ba thanh toán không dùng tiền mặt (bao gồm cả trường hợp bên bán yêu cầu bên mua thanh toán không dùng tiền mặt cho bên thứ ba do bên bán chỉ định) thì việc thanh toán theo ủy quyền hoặc thanh toán cho bên thứ ba theo chỉ định của bên bán phải được quy định cụ thể trong hợp đồng dưới hình thức văn bản và bên thứ ba là một tổ chức hoặc thể nhân đang hoạt động theo quy định của pháp luật.</w:t>
      </w:r>
    </w:p>
    <w:p>
      <w:pPr>
        <w:bidi w:val="0"/>
        <w:spacing w:before="120" w:beforeAutospacing="0" w:after="280" w:afterAutospacing="1"/>
      </w:pPr>
      <w:r>
        <w:rPr>
          <w:color w:val="000000"/>
          <w:rtl w:val="0"/>
        </w:rPr>
        <w:t>d) Trường hợp hàng hóa, dịch vụ mua vào theo phương thức thanh toán tiền hàng hóa, dịch vụ bằng cổ phiếu, trái phiếu mà phương thức thanh toán này được quy định cụ thể trong hợp đồng thì phải có hợp đồng mua bán dưới hình thức văn bản được lập trước đó.</w:t>
      </w:r>
    </w:p>
    <w:p>
      <w:pPr>
        <w:bidi w:val="0"/>
        <w:spacing w:before="120" w:beforeAutospacing="0" w:after="280" w:afterAutospacing="1"/>
      </w:pPr>
      <w:r>
        <w:rPr>
          <w:color w:val="000000"/>
          <w:rtl w:val="0"/>
        </w:rPr>
        <w:t>đ) Trường hợp sau khi thực hiện các hình thức thanh toán nêu tại điểm a, b, c và d khoản này mà phần giá trị còn lại được thanh toán bằng tiền có giá trị từ 05 triệu đồng trở lên thì chỉ được khấu trừ thuế đối với trường hợp có chứng từ thanh toán không dùng tiền mặt.</w:t>
      </w:r>
    </w:p>
    <w:p>
      <w:pPr>
        <w:bidi w:val="0"/>
        <w:spacing w:before="120" w:beforeAutospacing="0" w:after="280" w:afterAutospacing="1"/>
      </w:pPr>
      <w:r>
        <w:rPr>
          <w:color w:val="000000"/>
          <w:rtl w:val="0"/>
        </w:rPr>
        <w:t>e) Trường hợp hàng hóa, dịch vụ mua vào được thanh toán không dùng tiền mặt vào tài khoản của bên thứ ba mở tại Kho bạc Nhà nước để thực hiện cưỡng chế bằng biện pháp thu tiền, tài sản do tổ chức, cá nhân khác đang nắm giữ (theo Quyết định của cơ quan nhà nước có thẩm quyền) thì được khấu trừ thuế giá trị gia tăng đầu vào xác định tương ứng với số tiền chuyển vào tài khoản của bên thứ ba mở tại Kho bạc Nhà nước.</w:t>
      </w:r>
    </w:p>
    <w:p>
      <w:pPr>
        <w:bidi w:val="0"/>
        <w:spacing w:before="120" w:beforeAutospacing="0" w:after="280" w:afterAutospacing="1"/>
      </w:pPr>
      <w:bookmarkStart w:id="155" w:name="diem_g_2_26"/>
      <w:r>
        <w:rPr>
          <w:color w:val="000000"/>
          <w:rtl w:val="0"/>
        </w:rPr>
        <w:t>g) Đối với hàng hóa, dịch vụ mua trả chậm, trả góp có giá trị hàng hóa, dịch vụ mua từ 05 triệu đồng trở lên, cơ sở kinh doanh căn cứ vào hợp đồng mua hàng hóa, dịch vụ bằng văn bản, hóa đơn giá trị gia tăng và chứng từ thanh toán không dùng tiền mặt của hàng hóa, dịch vụ mua trả chậm, trả góp để khấu trừ thuế giá trị gia tăng đầu vào. Trường hợp chưa có chứng từ thanh toán không dùng tiền mặt do chưa đến thời điểm thanh toán theo hợp đồng, phụ lục hợp đồng thì cơ sở kinh doanh vẫn được khấu trừ thuế giá trị gia tăng đầu vào.</w:t>
      </w:r>
      <w:bookmarkEnd w:id="155"/>
      <w:r>
        <w:rPr>
          <w:color w:val="000000"/>
          <w:rtl w:val="0"/>
        </w:rPr>
        <w:t xml:space="preserve"> </w:t>
      </w:r>
      <w:bookmarkStart w:id="156" w:name="diem_g_2_26_name"/>
      <w:r>
        <w:rPr>
          <w:color w:val="000000"/>
          <w:rtl w:val="0"/>
        </w:rPr>
        <w:t>Trường hợp đến thời điểm thanh toán theo hợp đồng, phụ lục hợp đồng, cơ sở kinh doanh không có chứng từ thanh toán không dùng tiền mặt thì cơ sở kinh doanh phải kê khai, điều chỉnh giảm số thuế giá trị gia tăng đầu vào được khấu trừ đối với phần giá trị hàng hóa, dịch vụ không có chứng từ thanh toán không dùng tiền mặt vào kỳ tính thuế phát sinh nghĩa vụ thanh toán theo hợp đồng, phụ lục hợp đồng.</w:t>
      </w:r>
      <w:bookmarkEnd w:id="156"/>
    </w:p>
    <w:p>
      <w:pPr>
        <w:bidi w:val="0"/>
        <w:spacing w:before="120" w:beforeAutospacing="0" w:after="280" w:afterAutospacing="1"/>
      </w:pPr>
      <w:r>
        <w:rPr>
          <w:color w:val="000000"/>
          <w:rtl w:val="0"/>
        </w:rPr>
        <w:t>h) Trường hợp giá trị hàng hóa, dịch vụ nhập khẩu từng lần có giá trị dưới 05 triệu đồng, hàng hóa, dịch vụ mua vào từng lần theo hóa đơn dưới 05 triệu đồng theo giá đã có thuế giá trị gia tăng và trường hợp cơ sở kinh doanh nhập khẩu hàng hóa là quà biếu, quà tặng, hàng mẫu không phải trả tiền của tổ chức, cá nhân ở nước ngoài thì không cần chứng từ thanh toán không dùng tiền mặt đối với hàng hóa, dịch vụ mua vào.</w:t>
      </w:r>
    </w:p>
    <w:p>
      <w:pPr>
        <w:bidi w:val="0"/>
        <w:spacing w:before="120" w:beforeAutospacing="0" w:after="280" w:afterAutospacing="1"/>
      </w:pPr>
      <w:r>
        <w:rPr>
          <w:color w:val="000000"/>
          <w:rtl w:val="0"/>
        </w:rPr>
        <w:t>i) Trường hợp hàng hóa, dịch vụ mua vào phục vụ cho hoạt động sản xuất, kinh doanh hàng hóa, dịch vụ chịu thuế giá trị gia tăng được ủy quyền cho cá nhân là người lao động của cơ sở kinh doanh thanh toán không dùng tiền mặt theo quy chế tài chính hoặc quy chế nội bộ của cơ sở kinh doanh, sau đó cơ sở kinh doanh thanh toán lại cho người lao động bằng hình thức thanh toán không dùng tiền mặt thì được khấu trừ thuế giá trị gia tăng đầu vào.</w:t>
      </w:r>
    </w:p>
    <w:p>
      <w:pPr>
        <w:bidi w:val="0"/>
        <w:spacing w:before="120" w:beforeAutospacing="0" w:after="280" w:afterAutospacing="1"/>
      </w:pPr>
      <w:r>
        <w:rPr>
          <w:color w:val="000000"/>
          <w:rtl w:val="0"/>
        </w:rPr>
        <w:t>3. Trường hợp mua hàng hóa, dịch vụ của một người nộp thuế có giá trị dưới 05 triệu đồng nhưng mua nhiều lần trong cùng một ngày có tổng giá trị từ 05 triệu đồng trở lên thì chỉ được khấu trừ thuế đối với trường hợp có chứng từ thanh toán không dùng tiền mặt.</w:t>
      </w:r>
    </w:p>
    <w:p>
      <w:pPr>
        <w:bidi w:val="0"/>
        <w:spacing w:before="120" w:beforeAutospacing="0" w:after="280" w:afterAutospacing="1"/>
      </w:pPr>
      <w:bookmarkStart w:id="157" w:name="dieu_27"/>
      <w:r>
        <w:rPr>
          <w:b/>
          <w:bCs/>
          <w:color w:val="000000"/>
          <w:rtl w:val="0"/>
        </w:rPr>
        <w:t>Điều 27. Điều kiện khấu trừ thuế giá trị gia tăng đầu vào đối với hàng hóa, dịch vụ xuất khẩu</w:t>
      </w:r>
      <w:bookmarkEnd w:id="157"/>
    </w:p>
    <w:p>
      <w:pPr>
        <w:bidi w:val="0"/>
        <w:spacing w:before="120" w:beforeAutospacing="0" w:after="280" w:afterAutospacing="1"/>
      </w:pPr>
      <w:r>
        <w:rPr>
          <w:color w:val="000000"/>
          <w:rtl w:val="0"/>
        </w:rPr>
        <w:t xml:space="preserve">Đối với hàng hóa, dịch vụ xuất khẩu, ngoài các điều kiện quy định tại </w:t>
      </w:r>
      <w:bookmarkStart w:id="158" w:name="tc_10"/>
      <w:r>
        <w:rPr>
          <w:color w:val="000000"/>
          <w:rtl w:val="0"/>
        </w:rPr>
        <w:t>Điều 25, Điều 26 Nghị định này</w:t>
      </w:r>
      <w:bookmarkEnd w:id="158"/>
      <w:r>
        <w:rPr>
          <w:color w:val="000000"/>
          <w:rtl w:val="0"/>
        </w:rPr>
        <w:t xml:space="preserve"> còn phải có: hợp đồng ký kết với bên nước ngoài về việc bán, gia công hàng hóa, cung cấp dịch vụ; hóa đơn bán hàng hóa, cung cấp dịch vụ; chứng từ thanh toán không dùng tiền mặt; tờ khai hải quan đối với hàng hóa xuất khẩu (trừ trường hợp không cần phải có tờ khai hải quan theo quy định của pháp luật về hải quan); phiếu đóng gói, vận đơn, chứng từ bảo hiểm hàng hóa (nếu có). Trong đó:</w:t>
      </w:r>
    </w:p>
    <w:p>
      <w:pPr>
        <w:bidi w:val="0"/>
        <w:spacing w:before="120" w:beforeAutospacing="0" w:after="280" w:afterAutospacing="1"/>
      </w:pPr>
      <w:r>
        <w:rPr>
          <w:color w:val="000000"/>
          <w:rtl w:val="0"/>
        </w:rPr>
        <w:t>1. Đối với hợp đồng bán hàng hóa, gia công hàng hóa, cung cấp dịch vụ cho bên nước ngoài (bên nhập khẩu): trường hợp ủy thác xuất khẩu là hợp đồng ủy thác xuất khẩu và biên bản thanh lý hợp đồng ủy thác xuất khẩu (trường hợp đã kết thúc hợp đồng) hoặc biên bản đối chiếu công nợ định kỳ giữa bên ủy thác xuất khẩu và bên nhận ủy thác xuất khẩu có ghi rõ: số lượng, chủng loại sản phẩm, giá trị hàng ủy thác đã xuất khẩu; số, ngày hợp đồng xuất khẩu của bên nhận ủy thác xuất khẩu ký với bên nước ngoài; số, ngày, số tiền ghi trên chứng từ thanh toán không dùng tiền mặt với bên nước ngoài của bên nhận ủy thác xuất khẩu; số, ngày, số tiền ghi trên chứng từ thanh toán của bên nhận ủy thác xuất khẩu thanh toán cho bên ủy thác xuất khẩu; số, ngày tờ khai hải quan hàng hóa xuất khẩu của bên nhận ủy thác xuất khẩu.</w:t>
      </w:r>
    </w:p>
    <w:p>
      <w:pPr>
        <w:bidi w:val="0"/>
        <w:spacing w:before="120" w:beforeAutospacing="0" w:after="280" w:afterAutospacing="1"/>
      </w:pPr>
      <w:r>
        <w:rPr>
          <w:color w:val="000000"/>
          <w:rtl w:val="0"/>
        </w:rPr>
        <w:t>2. Đối với tờ khai hải quan hàng hóa xuất khẩu: tờ khai đã hoàn thành thủ tục hải quan theo quy định của pháp luật về hải quan.</w:t>
      </w:r>
    </w:p>
    <w:p>
      <w:pPr>
        <w:bidi w:val="0"/>
        <w:spacing w:before="120" w:beforeAutospacing="0" w:after="280" w:afterAutospacing="1"/>
      </w:pPr>
      <w:r>
        <w:rPr>
          <w:color w:val="000000"/>
          <w:rtl w:val="0"/>
        </w:rPr>
        <w:t>3. Đối với chứng từ thanh toán không dùng tiền mặt: chứng từ chuyển tiền từ tài khoản của bên nhập khẩu (hoặc ngân hàng phục vụ bên nhập khẩu) sang tài khoản mang tên cơ sở kinh doanh (bên xuất khẩu) mở tại ngân hàng theo các hình thức thanh toán phù hợp với thỏa thuận trong hợp đồng và quy định của ngân hàng. Chứng từ thanh toán tiền là giấy báo có của ngân hàng bên xuất khẩu về số tiền đã nhận được từ tài khoản của ngân hàng bên nhập khẩu. Trường hợp thanh toán trả chậm, phải có thỏa thuận ghi trong hợp đồng, phụ lục hợp đồng xuất khẩu, đến thời hạn thanh toán bên xuất khẩu phải có chứng từ thanh toán không dùng tiền mặt. Trường hợp ủy thác xuất khẩu thì phải có chứng từ thanh toán không dùng tiền mặt của bên nước ngoài cho bên nhận ủy thác và bên nhận ủy thác phải có chứng từ thanh toán không dùng tiền mặt đối với hàng xuất khẩu cho bên ủy thác. Trường hợp bên nước ngoài thanh toán trực tiếp cho bên ủy thác xuất khẩu thì bên ủy thác phải có chứng từ thanh toán không dùng tiền mặt và việc thanh toán này phải được quy định trong hợp đồng. Trường hợp bên xuất khẩu bán các khoản phải thu của bên nhập khẩu cho bên thứ ba (bên mua các khoản phải thu) ở nước ngoài thì phải có chứng từ thanh toán không dùng tiền mặt từ bên thứ ba (bên mua các khoản phải thu), việc thanh toán này phải được quy định trong hợp đồng xuất khẩu và hợp đồng mua bán các khoản phải thu với bên thứ ba ở nước ngoài; bên xuất khẩu phải có văn bản cam kết, giải trình về lý do số tiền thanh toán khác số tiền phải thanh toán theo hợp đồng xuất khẩu phù hợp với hợp đồng mua bán các khoản phải thu. Trừ một số trường hợp không phải đáp ứng điều kiện chứng từ thanh toán không dùng tiền mặt như sau:</w:t>
      </w:r>
    </w:p>
    <w:p>
      <w:pPr>
        <w:bidi w:val="0"/>
        <w:spacing w:before="120" w:beforeAutospacing="0" w:after="280" w:afterAutospacing="1"/>
      </w:pPr>
      <w:r>
        <w:rPr>
          <w:color w:val="000000"/>
          <w:rtl w:val="0"/>
        </w:rPr>
        <w:t>a) Trường hợp hàng hóa, dịch vụ xuất khẩu được thanh toán cấn trừ vào khoản tiền vay nợ nước ngoài, cơ sở kinh doanh phải có đủ điều kiện, thủ tục, hồ sơ như sau: hợp đồng vay nợ (đối với những khoản vay tài chính có thời hạn dưới 01 năm); hoặc giấy xác nhận đăng ký khoản vay của Ngân hàng Nhà nước Việt Nam (đối với những khoản vay trên 01 năm); chứng từ thanh toán không dùng tiền mặt chuyển tiền của bên nước ngoài vào Việt Nam. Phương thức thanh toán hàng hóa, dịch vụ xuất khẩu cấn trừ vào khoản nợ vay nước ngoài phải được quy định trong hợp đồng xuất khẩu; bản xác nhận của bên nước ngoài về cấn trừ khoản nợ vay; trường hợp sau khi cấn trừ giá trị hàng hóa, dịch vụ xuất khẩu vào khoản nợ vay của nước ngoài có chênh lệch, thì số tiền chênh lệch phải có chứng từ thanh toán không dùng tiền mặt.</w:t>
      </w:r>
    </w:p>
    <w:p>
      <w:pPr>
        <w:bidi w:val="0"/>
        <w:spacing w:before="120" w:beforeAutospacing="0" w:after="280" w:afterAutospacing="1"/>
      </w:pPr>
      <w:r>
        <w:rPr>
          <w:color w:val="000000"/>
          <w:rtl w:val="0"/>
        </w:rPr>
        <w:t>b) Trường hợp cơ sở kinh doanh xuất khẩu sử dụng tiền thanh toán hàng hóa, dịch vụ xuất khẩu để góp vốn với bên nhập khẩu ở nước ngoài, cơ sở kinh doanh phải có đủ điều kiện, thủ tục, hồ sơ như sau: hợp đồng góp vốn; việc sử dụng tiền thanh toán hàng hóa, dịch vụ xuất khẩu để góp vốn vào bên nhập khẩu ở nước ngoài phải được quy định trong hợp đồng xuất khẩu; trường hợp số tiền góp vốn nhỏ hơn doanh thu hàng hóa xuất khẩu thì số tiền chênh lệch phải có chứng từ thanh toán không dùng tiền mặt.</w:t>
      </w:r>
    </w:p>
    <w:p>
      <w:pPr>
        <w:bidi w:val="0"/>
        <w:spacing w:before="120" w:beforeAutospacing="0" w:after="280" w:afterAutospacing="1"/>
      </w:pPr>
      <w:r>
        <w:rPr>
          <w:color w:val="000000"/>
          <w:rtl w:val="0"/>
        </w:rPr>
        <w:t>c) Trường hợp bên nước ngoài ủy quyền cho bên thứ ba là tổ chức, cá nhân ở nước ngoài thực hiện thanh toán thì việc thanh toán theo ủy quyền phải được quy định trong hợp đồng xuất khẩu (phụ lục hợp đồng hoặc văn bản điều chỉnh hợp đồng (nếu có)).</w:t>
      </w:r>
    </w:p>
    <w:p>
      <w:pPr>
        <w:bidi w:val="0"/>
        <w:spacing w:before="120" w:beforeAutospacing="0" w:after="280" w:afterAutospacing="1"/>
      </w:pPr>
      <w:r>
        <w:rPr>
          <w:color w:val="000000"/>
          <w:rtl w:val="0"/>
        </w:rPr>
        <w:t>d) Trường hợp bên nước ngoài yêu cầu bên thứ ba là tổ chức ở Việt Nam thanh toán bù trừ công nợ với bên nước ngoài bằng thực hiện thanh toán không dùng tiền mặt số tiền bên nước ngoài phải thanh toán cho cơ sở kinh doanh xuất khẩu và việc yêu cầu thanh toán bù trừ công nợ nêu trên có quy định trong hợp đồng xuất khẩu (phụ lục hợp đồng hoặc văn bản điều chỉnh hợp đồng (nếu có)) và có chứng từ thanh toán là giấy báo có của ngân hàng bên xuất khẩu về số tiền đã nhận được từ tài khoản của bên thứ ba, đồng thời bên xuất khẩu phải có bản đối chiếu công nợ có xác nhận của bên nước ngoài và bên thứ ba.</w:t>
      </w:r>
    </w:p>
    <w:p>
      <w:pPr>
        <w:bidi w:val="0"/>
        <w:spacing w:before="120" w:beforeAutospacing="0" w:after="280" w:afterAutospacing="1"/>
      </w:pPr>
      <w:r>
        <w:rPr>
          <w:color w:val="000000"/>
          <w:rtl w:val="0"/>
        </w:rPr>
        <w:t>đ) Trường hợp bên nước ngoài (bên nhập khẩu) ủy quyền cho bên thứ ba là tổ chức, cá nhân ở nước ngoài thực hiện thanh toán; bên thứ ba yêu cầu tổ chức ở Việt Nam (bên thứ tư) thanh toán bù trừ công nợ với bên thứ ba bằng việc thực hiện thanh toán không dùng tiền mặt số tiền bên nhập khẩu phải thanh toán cho bên xuất khẩu thì bên xuất khẩu phải có đủ các điều kiện, hồ sơ như sau: hợp đồng xuất khẩu (phụ lục hợp đồng hoặc văn bản điều chỉnh hợp đồng (nếu có)) quy định việc ủy quyền thanh toán, bù trừ công nợ giữa các bên; chứng từ thanh toán là giấy báo có của ngân hàng về số tiền bên xuất khẩu nhận được từ tài khoản của bên thứ tư; bản đối chiếu công nợ có xác nhận của các bên liên quan (giữa bên xuất khẩu với bên nhập khẩu, giữa bên thứ ba ở nước ngoài với bên thứ tư là tổ chức ở Việt Nam).</w:t>
      </w:r>
    </w:p>
    <w:p>
      <w:pPr>
        <w:bidi w:val="0"/>
        <w:spacing w:before="120" w:beforeAutospacing="0" w:after="280" w:afterAutospacing="1"/>
      </w:pPr>
      <w:r>
        <w:rPr>
          <w:color w:val="000000"/>
          <w:rtl w:val="0"/>
        </w:rPr>
        <w:t>e) Trường hợp bên nước ngoài ủy quyền cho Văn phòng đại diện tại Việt Nam thực hiện thanh toán vào tài khoản của bên xuất khẩu và việc ủy quyền thanh toán nêu trên có quy định trong hợp đồng xuất khẩu (phụ lục hợp đồng hoặc văn bản điều chỉnh hợp đồng (nếu có)).</w:t>
      </w:r>
    </w:p>
    <w:p>
      <w:pPr>
        <w:bidi w:val="0"/>
        <w:spacing w:before="120" w:beforeAutospacing="0" w:after="280" w:afterAutospacing="1"/>
      </w:pPr>
      <w:r>
        <w:rPr>
          <w:color w:val="000000"/>
          <w:rtl w:val="0"/>
        </w:rPr>
        <w:t>g) Trường hợp bên nước ngoài (trừ trường hợp bên nước ngoài là cá nhân) thực hiện thanh toán từ tài khoản tiền gửi vãng lai của bên nước ngoài mở tại các tổ chức tín dụng tại Việt Nam thì việc thanh toán này phải được quy định trong hợp đồng xuất khẩu (phụ lục hợp đồng hoặc văn bản điều chỉnh hợp đồng (nếu có)). Chứng từ thanh toán là giấy báo có của ngân hàng bên xuất khẩu về số tiền đã nhận được từ tài khoản vãng lai của bên nước ngoài đã ký hợp đồng.</w:t>
      </w:r>
    </w:p>
    <w:p>
      <w:pPr>
        <w:bidi w:val="0"/>
        <w:spacing w:before="120" w:beforeAutospacing="0" w:after="280" w:afterAutospacing="1"/>
      </w:pPr>
      <w:r>
        <w:rPr>
          <w:color w:val="000000"/>
          <w:rtl w:val="0"/>
        </w:rPr>
        <w:t>h) Trường hợp bên nước ngoài là doanh nghiệp tư nhân thực hiện thanh toán thông qua tài khoản vãng lai của chủ doanh nghiệp tư nhân mở tại tổ chức tín dụng ở Việt Nam và được quy định trong hợp đồng xuất khẩu (phụ lục hợp đồng hoặc văn bản điều chỉnh hợp đồng (nếu có)) thì được xác định là thanh toán không dùng tiền mặt. Trường hợp người mua bên nước ngoài là doanh nghiệp tư nhân nhập cảnh qua các cửa khẩu quốc tế của Việt Nam bằng hộ chiếu mang theo ngoại tệ tiền mặt, đồng Việt Nam tiền mặt để nộp vào tài khoản vãng lai của chủ doanh nghiệp tư nhân mở tại tổ chức tín dụng ở Việt Nam phải khai báo hải quan cửa khẩu khi xuất cảnh, nhập cảnh theo hướng dẫn của Ngân hàng Nhà nước Việt Nam.</w:t>
      </w:r>
    </w:p>
    <w:p>
      <w:pPr>
        <w:bidi w:val="0"/>
        <w:spacing w:before="120" w:beforeAutospacing="0" w:after="280" w:afterAutospacing="1"/>
      </w:pPr>
      <w:r>
        <w:rPr>
          <w:color w:val="000000"/>
          <w:rtl w:val="0"/>
        </w:rPr>
        <w:t>i) Trường hợp bên nước ngoài thực hiện thanh toán không dùng tiền mặt nhưng số tiền thanh toán trên chứng từ thanh toán không dùng tiền mặt không phù hợp với số tiền phải thanh toán như đã thỏa thuận trong hợp đồng hoặc phụ lục hợp đồng thì: nếu số tiền thanh toán trên chứng từ thanh toán không dùng tiền mặt có trị giá nhỏ hơn số tiền phải thanh toán như đã thỏa thuận trong hợp đồng hoặc phụ lục hợp đồng thì cơ sở kinh doanh phải giải trình rõ lý do như: phí chuyển tiền của ngân hàng, điều chỉnh giảm giá do hàng kém chất lượng hoặc thiếu hụt (đối với trường hợp này phải có văn bản thỏa thuận giảm giá giữa bên nhập khẩu và bên xuất khẩu); nếu số tiền thanh toán trên chứng từ thanh toán không dùng tiền mặt có trị giá lớn hơn số tiền phải thanh toán như đã thỏa thuận trong hợp đồng hoặc phụ lục hợp đồng thì cơ sở kinh doanh phải giải trình rõ lý do như: thanh toán một lần cho nhiều hợp đồng, ứng trước tiền hàng; cơ sở kinh doanh phải cam kết chịu trách nhiệm trước pháp luật về các lý do giải trình với cơ quan thuế và các văn bản điều chỉnh (nếu có).</w:t>
      </w:r>
    </w:p>
    <w:p>
      <w:pPr>
        <w:bidi w:val="0"/>
        <w:spacing w:before="120" w:beforeAutospacing="0" w:after="280" w:afterAutospacing="1"/>
      </w:pPr>
      <w:r>
        <w:rPr>
          <w:color w:val="000000"/>
          <w:rtl w:val="0"/>
        </w:rPr>
        <w:t>k) Trường hợp bên nước ngoài thanh toán không dùng tiền mặt nhưng chứng từ thanh toán không dùng tiền mặt không đúng tên ngân hàng phải thanh toán đã thỏa thuận trong hợp đồng, nếu nội dung chứng từ thể hiện rõ tên người thanh toán, tên người thụ hưởng, số hợp đồng xuất khẩu, giá trị thanh toán phù hợp với hợp đồng xuất khẩu đã được ký kết thì được chấp nhận là chứng từ thanh toán hợp lệ.</w:t>
      </w:r>
    </w:p>
    <w:p>
      <w:pPr>
        <w:bidi w:val="0"/>
        <w:spacing w:before="120" w:beforeAutospacing="0" w:after="280" w:afterAutospacing="1"/>
      </w:pPr>
      <w:r>
        <w:rPr>
          <w:color w:val="000000"/>
          <w:rtl w:val="0"/>
        </w:rPr>
        <w:t>l) Trường hợp cơ sở kinh doanh xuất khẩu hàng hóa, dịch vụ cho bên nước ngoài (bên thứ hai), đồng thời nhập khẩu hàng hóa, dịch vụ với bên nước ngoài khác hoặc mua hàng với tổ chức, cá nhân ở Việt Nam (bên thứ ba); nếu cơ sở kinh doanh có thỏa thuận với bên thứ hai và bên thứ ba về việc bên thứ hai thực hiện thanh toán không dùng tiền mặt cho bên thứ ba số tiền mà cơ sở kinh doanh còn phải thanh toán cho bên thứ ba thì việc bù trừ thanh toán giữa các bên phải được quy định trong hợp đồng xuất khẩu, hợp đồng nhập khẩu hoặc hợp đồng mua hàng (phụ lục hợp đồng hoặc văn bản điều chỉnh hợp đồng (nếu có)) và cơ sở kinh doanh phải có bản đối chiếu công nợ có xác nhận của các bên liên quan (giữa cơ sở kinh doanh với bên thứ hai, giữa cơ sở kinh doanh với bên thứ ba).</w:t>
      </w:r>
    </w:p>
    <w:p>
      <w:pPr>
        <w:bidi w:val="0"/>
        <w:spacing w:before="120" w:beforeAutospacing="0" w:after="280" w:afterAutospacing="1"/>
      </w:pPr>
      <w:r>
        <w:rPr>
          <w:color w:val="000000"/>
          <w:rtl w:val="0"/>
        </w:rPr>
        <w:t>m) Trường hợp hàng hóa xuất khẩu ra nước ngoài nhưng vì lý do khách quan bên nước ngoài từ chối không nhận hàng và cơ sở kinh doanh tìm được khách hàng mới cùng quốc gia với khách hàng ký kết hợp đồng mua bán ban đầu để bán lô hàng trên thì chứng từ khấu trừ gồm toàn bộ hồ sơ xuất khẩu liên quan đến hợp đồng xuất khẩu ký kết với khách hàng ban đầu (hợp đồng, tờ khai hải quan đối với hàng hóa xuất khẩu, hóa đơn), công văn giải trình của cơ sở kinh doanh lý do có sự sai khác tên khách hàng mua (trong đó cơ sở kinh doanh cam kết tự chịu trách nhiệm về tính chính xác của thông tin, đảm bảo không có gian lận), toàn bộ hồ sơ xuất khẩu liên quan đến hợp đồng xuất khẩu ký kết với khách hàng mới (hợp đồng, hóa đơn bán hàng, chứng từ thanh toán không dùng tiền mặt theo quy định và các chứng từ khác (nếu có)).</w:t>
      </w:r>
    </w:p>
    <w:p>
      <w:pPr>
        <w:bidi w:val="0"/>
        <w:spacing w:before="120" w:beforeAutospacing="0" w:after="280" w:afterAutospacing="1"/>
      </w:pPr>
      <w:r>
        <w:rPr>
          <w:color w:val="000000"/>
          <w:rtl w:val="0"/>
        </w:rPr>
        <w:t>n) Trường hợp xuất khẩu lao động mà cơ sở kinh doanh xuất khẩu lao động thu tiền trực tiếp của người lao động thì phải có chứng từ thu tiền của người lao động.</w:t>
      </w:r>
    </w:p>
    <w:p>
      <w:pPr>
        <w:bidi w:val="0"/>
        <w:spacing w:before="120" w:beforeAutospacing="0" w:after="280" w:afterAutospacing="1"/>
      </w:pPr>
      <w:r>
        <w:rPr>
          <w:color w:val="000000"/>
          <w:rtl w:val="0"/>
        </w:rPr>
        <w:t>o) Trường hợp xuất khẩu hàng hóa, dịch vụ để trả nợ nước ngoài cho Chính phủ thì phải có xác nhận của ngân hàng về lô hàng xuất khẩu đã được bên nước ngoài chấp nhận trừ nợ hoặc xác nhận bộ chứng từ đã được gửi cho bên nước ngoài để trừ nợ; chứng từ thanh toán thực hiện theo hướng dẫn của Bộ Tài chính.</w:t>
      </w:r>
    </w:p>
    <w:p>
      <w:pPr>
        <w:bidi w:val="0"/>
        <w:spacing w:before="120" w:beforeAutospacing="0" w:after="280" w:afterAutospacing="1"/>
      </w:pPr>
      <w:r>
        <w:rPr>
          <w:color w:val="000000"/>
          <w:rtl w:val="0"/>
        </w:rPr>
        <w:t>p) Trường hợp hàng hóa, dịch vụ xuất khẩu thanh toán bằng hàng là trường hợp xuất khẩu hàng hóa (kể cả gia công hàng hóa xuất khẩu), dịch vụ cho bên nước ngoài nhưng việc thanh toán giữa cơ sở kinh doanh xuất khẩu và bên nước ngoài bằng hình thức bù trừ giữa giá trị hàng hóa, dịch vụ xuất khẩu, tiền công gia công hàng hóa xuất khẩu với giá trị hàng hóa, dịch vụ mua của bên nước ngoài. Hàng hóa, dịch vụ xuất khẩu thanh toán bằng hàng thì: phương thức thanh toán đối với hàng xuất khẩu bằng hàng phải được quy định trong hợp đồng xuất khẩu; hợp đồng mua hàng hóa, dịch vụ của bên nước ngoài; có tờ khai hải quan về hàng hóa nhập khẩu thanh toán bù trừ với hàng hóa, dịch vụ xuất khẩu; có văn bản xác nhận với bên nước ngoài về việc số tiền thanh toán bù trừ giữa hàng hóa, dịch vụ xuất khẩu với hàng hóa nhập khẩu, dịch vụ mua của bên nước ngoài; trường hợp sau khi thanh toán bù trừ giữa giá trị hàng hóa, dịch vụ xuất khẩu và giá trị hàng hóa, dịch vụ nhập khẩu có chênh lệch, số tiền chênh lệch phải có chứng từ thanh toán không dùng tiền mặt.</w:t>
      </w:r>
    </w:p>
    <w:p>
      <w:pPr>
        <w:bidi w:val="0"/>
        <w:spacing w:before="120" w:beforeAutospacing="0" w:after="280" w:afterAutospacing="1"/>
      </w:pPr>
      <w:r>
        <w:rPr>
          <w:color w:val="000000"/>
          <w:rtl w:val="0"/>
        </w:rPr>
        <w:t>q) Trường hợp xuất khẩu hàng hóa sang các nước có chung biên giới theo quy định của pháp luật về việc quản lý hoạt động thương mại biên giới với các nước có chung biên giới thực hiện theo hướng dẫn của Bộ Tài chính và Ngân hàng Nhà nước Việt Nam.</w:t>
      </w:r>
    </w:p>
    <w:p>
      <w:pPr>
        <w:bidi w:val="0"/>
        <w:spacing w:before="120" w:beforeAutospacing="0" w:after="280" w:afterAutospacing="1"/>
      </w:pPr>
      <w:r>
        <w:rPr>
          <w:color w:val="000000"/>
          <w:rtl w:val="0"/>
        </w:rPr>
        <w:t>r) Trường hợp bên nước ngoài mất khả năng thanh toán, cơ sở kinh doanh xuất khẩu hàng hóa phải có văn bản giải trình rõ lý do và được sử dụng một trong số các giấy tờ sau để thay thế cho chứng từ thanh toán không dùng tiền mặt: tờ khai hải quan hàng hóa nhập khẩu từ Việt Nam đã đăng ký với cơ quan hải quan tại nước nhập khẩu hàng hóa (01 bản sao); hoặc đơn khởi kiện đến tòa án hoặc cơ quan có thẩm quyền tại nước nơi cư trú kèm giấy thông báo hoặc kèm giấy tờ có tính chất xác nhận của cơ quan này về việc thụ lý đơn khởi kiện (01 bản sao); hoặc phán quyết thắng kiện của tòa án nước ngoài cho cơ sở kinh doanh (01 bản sao); hoặc giấy tờ của tổ chức có thẩm quyền nước ngoài xác nhận (hoặc thông báo) bên nước ngoài phá sản hoặc mất khả năng thanh toán (01 bản sao).</w:t>
      </w:r>
    </w:p>
    <w:p>
      <w:pPr>
        <w:bidi w:val="0"/>
        <w:spacing w:before="120" w:beforeAutospacing="0" w:after="280" w:afterAutospacing="1"/>
      </w:pPr>
      <w:r>
        <w:rPr>
          <w:color w:val="000000"/>
          <w:rtl w:val="0"/>
        </w:rPr>
        <w:t>s) Trường hợp hàng hóa xuất khẩu không đảm bảo chất lượng phải tiêu hủy, cơ sở kinh doanh xuất khẩu hàng hóa phải có văn bản giải trình rõ lý do và được sử dụng biên bản tiêu hủy (hoặc giấy tờ xác nhận việc tiêu hủy) hàng hóa ở nước ngoài của cơ quan thực hiện tiêu hủy (01 bản sao), kèm chứng từ thanh toán không dùng tiền mặt đối với chi phí tiêu hủy thuộc trách nhiệm chi trả của cơ sở kinh doanh xuất khẩu hàng hóa hoặc kèm giấy tờ chứng minh chi phí tiêu hủy thuộc trách nhiệm của bên nhập khẩu hoặc bên thứ ba (01 bản sao) để thay thế cho chứng từ thanh toán không dùng tiền mặt. Trường hợp bên nhập khẩu hàng hóa phải đứng ra làm thủ tục tiêu hủy tại nước ngoài thì biên bản tiêu hủy (hoặc giấy tờ xác nhận việc tiêu hủy) ghi tên bên nhập khẩu hàng hóa.</w:t>
      </w:r>
    </w:p>
    <w:p>
      <w:pPr>
        <w:bidi w:val="0"/>
        <w:spacing w:before="120" w:beforeAutospacing="0" w:after="280" w:afterAutospacing="1"/>
      </w:pPr>
      <w:r>
        <w:rPr>
          <w:color w:val="000000"/>
          <w:rtl w:val="0"/>
        </w:rPr>
        <w:t>t) Trường hợp hàng hóa xuất khẩu bị tổn thất, cơ sở kinh doanh xuất khẩu hàng hóa phải có văn bản giải trình rõ lý do và được sử dụng một trong số các giấy tờ sau để thay thế cho chứng từ thanh toán không dùng tiền mặt: giấy xác nhận việc tổn thất ngoài biên giới Việt Nam của cơ quan có thẩm quyền liên quan (01 bản sao); hoặc biên bản xác định tổn thất hàng hóa trong quá trình vận chuyển ngoài biên giới Việt Nam nêu rõ nguyên nhân tổn thất (01 bản sao). Nếu cơ sở kinh doanh xuất khẩu hàng hóa đã nhận được tiền bồi thường hàng hóa xuất khẩu bị tổn thất ngoài biên giới Việt Nam thì phải gửi kèm chứng từ thanh toán không dùng tiền mặt về số tiền nhận được (01 bản sao).</w:t>
      </w:r>
    </w:p>
    <w:p>
      <w:pPr>
        <w:bidi w:val="0"/>
        <w:spacing w:before="120" w:beforeAutospacing="0" w:after="280" w:afterAutospacing="1"/>
      </w:pPr>
      <w:r>
        <w:rPr>
          <w:color w:val="000000"/>
          <w:rtl w:val="0"/>
        </w:rPr>
        <w:t>u) Bản sao các loại giấy tờ quy định tại khoản này phải có xác nhận sao y bản chính của cơ sở kinh doanh xuất khẩu hàng hóa. Trường hợp ngôn ngữ sử dụng trong các chứng từ, giấy tờ xác nhận của bên thứ ba thay thế cho chứng từ thanh toán không dùng tiền mặt không phải là tiếng Anh hoặc không có tiếng Anh thì phải có 01 bản dịch công chứng gửi kèm. Trường hợp các bên liên quan phát hành, sử dụng và lưu trữ chứng từ dưới dạng điện tử thì phải có bản in bằng giấy. Cơ sở kinh doanh xuất khẩu hàng hóa tự chịu hoàn toàn trách nhiệm về tính chính xác của các loại giấy tờ thay thế cho chứng từ thanh toán không dùng tiền mặt cho các trường hợp quy định tại khoản này.</w:t>
      </w:r>
    </w:p>
    <w:p>
      <w:pPr>
        <w:bidi w:val="0"/>
        <w:spacing w:before="120" w:beforeAutospacing="0" w:after="280" w:afterAutospacing="1"/>
      </w:pPr>
      <w:r>
        <w:rPr>
          <w:color w:val="000000"/>
          <w:rtl w:val="0"/>
        </w:rPr>
        <w:t>4. Đối với hóa đơn bán hàng hóa, cung cấp dịch vụ: hóa đơn thương mại hoặc hóa đơn giá trị gia tăng theo quy định của pháp luật về hóa đơn, chứng từ.</w:t>
      </w:r>
    </w:p>
    <w:p>
      <w:pPr>
        <w:bidi w:val="0"/>
        <w:spacing w:before="120" w:beforeAutospacing="0" w:after="280" w:afterAutospacing="1"/>
      </w:pPr>
      <w:bookmarkStart w:id="159" w:name="dieu_28"/>
      <w:r>
        <w:rPr>
          <w:b/>
          <w:bCs/>
          <w:color w:val="000000"/>
          <w:rtl w:val="0"/>
        </w:rPr>
        <w:t>Điều 28. Điều kiện khấu trừ thuế giá trị gia tăng đầu vào đối với một số trường hợp hàng hóa, dịch vụ đặc thù</w:t>
      </w:r>
      <w:bookmarkEnd w:id="159"/>
    </w:p>
    <w:p>
      <w:pPr>
        <w:bidi w:val="0"/>
        <w:spacing w:before="120" w:beforeAutospacing="0" w:after="280" w:afterAutospacing="1"/>
      </w:pPr>
      <w:r>
        <w:rPr>
          <w:color w:val="000000"/>
          <w:rtl w:val="0"/>
        </w:rPr>
        <w:t xml:space="preserve">Điều kiện khấu trừ thuế giá trị gia tăng đầu vào đối với trường hợp xuất khẩu hàng hóa qua sàn thương mại điện tử ở nước ngoài và một số trường hợp đặc thù khác ngoài các điều kiện khấu trừ thuế giá trị gia tăng đầu vào quy định tại </w:t>
      </w:r>
      <w:bookmarkStart w:id="160" w:name="tc_11"/>
      <w:r>
        <w:rPr>
          <w:color w:val="000000"/>
          <w:rtl w:val="0"/>
        </w:rPr>
        <w:t>Điều 25, Điều 26 Nghị định này</w:t>
      </w:r>
      <w:bookmarkEnd w:id="160"/>
      <w:r>
        <w:rPr>
          <w:color w:val="000000"/>
          <w:rtl w:val="0"/>
        </w:rPr>
        <w:t>, cơ sở xuất khẩu hàng hóa phải có tài liệu chứng minh việc đã xuất bán hàng hóa ở ngoài Việt Nam. Trong đó:</w:t>
      </w:r>
    </w:p>
    <w:p>
      <w:pPr>
        <w:bidi w:val="0"/>
        <w:spacing w:before="120" w:beforeAutospacing="0" w:after="280" w:afterAutospacing="1"/>
      </w:pPr>
      <w:r>
        <w:rPr>
          <w:color w:val="000000"/>
          <w:rtl w:val="0"/>
        </w:rPr>
        <w:t>1. Đối với trường hợp xuất khẩu hàng hóa qua sàn thương mại điện tử ở nước ngoài: cơ sở kinh doanh xuất khẩu hàng hóa phải có tài liệu chứng minh việc đã xuất bán hàng hóa ở ngoài Việt Nam như: hợp đồng ký với nhà quản lý sàn giao dịch thương mại điện tử để bán hàng hóa trên sàn thương mại điện tử ở nước ngoài (việc giao dịch bán hàng giữa cơ sở kinh doanh và người mua ở nước ngoài phải đáp ứng đầy đủ các quy định về giao kết hợp đồng sử dụng chức năng đặt hàng trực tuyến trên sàn thương mại điện tử ở nước ngoài theo quy định của pháp luật thương mại, pháp luật thương mại điện tử và pháp luật về giao dịch điện tử); hóa đơn bán hàng hóa; chứng từ thanh toán không dùng tiền mặt (trường hợp cơ sở kinh doanh xuất khẩu hàng hóa ủy quyền cho tổ chức trung gian là các nhà quản lý sàn giao dịch thương mại điện tử thu hộ tiền từ người mua ở nước ngoài thì việc thanh toán ủy quyền phải được quy định trong hợp đồng với nhà quản lý sàn giao dịch thương mại điện tử); tờ khai đã hoàn thành thủ tục hải quan theo quy định của pháp luật về hải quan khi gửi hàng ra nước ngoài; tài liệu chứng minh giao hàng cho người mua ở nước ngoài; phiếu đóng gói, vận đơn, chứng từ bảo hiểm hàng hóa (nếu có).</w:t>
      </w:r>
    </w:p>
    <w:p>
      <w:pPr>
        <w:bidi w:val="0"/>
        <w:spacing w:before="120" w:beforeAutospacing="0" w:after="280" w:afterAutospacing="1"/>
      </w:pPr>
      <w:r>
        <w:rPr>
          <w:color w:val="000000"/>
          <w:rtl w:val="0"/>
        </w:rPr>
        <w:t>2. Đối với trường hợp xuất khẩu hàng hóa đã gửi tại kho ngoại quan ở nước ngoài: cơ sở kinh doanh xuất khẩu hàng hóa phải có tài liệu chứng minh việc đã xuất bán hàng hóa ở ngoài Việt Nam như: hợp đồng xuất khẩu hàng hóa; hợp đồng ủy thác xuất khẩu; hóa đơn bán hàng hóa; chứng từ thanh toán không dùng tiền mặt; tờ khai đã hoàn thành thủ tục hải quan theo quy định của pháp luật về hải quan khi gửi hàng ra nước ngoài; tài liệu chứng minh giao hàng cho người nhập khẩu ở nước ngoài (tờ khai đã hoàn thành thủ tục hải quan khi xuất hàng để giao cho người mua của quốc gia gửi hàng hoặc tài liệu chứng minh hàng hóa đã bán tại kho ngoại quan); phiếu đóng gói, vận đơn, chứng từ bảo hiểm hàng hóa (nếu có).</w:t>
      </w:r>
    </w:p>
    <w:p>
      <w:pPr>
        <w:bidi w:val="0"/>
        <w:spacing w:before="120" w:beforeAutospacing="0" w:after="280" w:afterAutospacing="1"/>
      </w:pPr>
      <w:r>
        <w:rPr>
          <w:color w:val="000000"/>
          <w:rtl w:val="0"/>
        </w:rPr>
        <w:t>3. Đối với trường hợp xuất khẩu hàng hóa tại hội chợ, triển lãm ở nước ngoài: cơ sở kinh doanh xuất khẩu hàng hóa phải có tài liệu chứng minh việc đã xuất bán hàng hóa ở ngoài Việt Nam như: chứng từ thanh toán không dùng tiền mặt, nếu thu và chuyển về nước bằng tiền mặt ngoại tệ tại nước tổ chức hội chợ, triển lãm thương mại, cơ sở kinh doanh phải có chứng từ kê khai với cơ quan hải quan về tiền ngoại tệ thu được do bán hàng hóa chuyển về nước và chứng từ nộp tiền vào ngân hàng tại Việt Nam.</w:t>
      </w:r>
    </w:p>
    <w:p>
      <w:pPr>
        <w:bidi w:val="0"/>
        <w:spacing w:before="120" w:beforeAutospacing="0" w:after="280" w:afterAutospacing="1"/>
      </w:pPr>
      <w:r>
        <w:rPr>
          <w:color w:val="000000"/>
          <w:rtl w:val="0"/>
        </w:rPr>
        <w:t xml:space="preserve">4. Đối với hàng hóa đã bán tại khu vực cách ly cho cá nhân (người nước ngoài hoặc người Việt Nam) đã làm thủ tục xuất cảnh; hàng hóa đã bán tại cửa hàng miễn thuế: cơ sở kinh doanh phải có tài liệu chứng minh việc hàng hóa đã bán tại khu vực cách ly, cửa hàng miễn thuế; cơ sở kinh doanh phải có Bảng kê hàng hóa đã bán cho khách xuất cảnh tại khu vực cách ly, cửa hàng miễn thuế theo mẫu tại </w:t>
      </w:r>
      <w:bookmarkStart w:id="161" w:name="bieumau_pl_03"/>
      <w:r>
        <w:rPr>
          <w:color w:val="000000"/>
          <w:rtl w:val="0"/>
        </w:rPr>
        <w:t>Phụ lục III</w:t>
      </w:r>
      <w:bookmarkEnd w:id="161"/>
      <w:r>
        <w:rPr>
          <w:color w:val="000000"/>
          <w:rtl w:val="0"/>
        </w:rPr>
        <w:t xml:space="preserve"> ban hành kèm theo Nghị định này.</w:t>
      </w:r>
    </w:p>
    <w:p>
      <w:pPr>
        <w:bidi w:val="0"/>
        <w:spacing w:before="120" w:beforeAutospacing="0" w:after="280" w:afterAutospacing="1"/>
      </w:pPr>
      <w:r>
        <w:rPr>
          <w:color w:val="000000"/>
          <w:rtl w:val="0"/>
        </w:rPr>
        <w:t xml:space="preserve">5. Đối với sản phẩm nội dung thông tin số cung cấp cho bên nước ngoài: cơ sở kinh doanh cung cấp dịch vụ phải có hồ sơ, tài liệu chứng minh dịch vụ được tiêu dùng ở ngoài Việt Nam theo quy định tại </w:t>
      </w:r>
      <w:bookmarkStart w:id="162" w:name="tc_12"/>
      <w:r>
        <w:rPr>
          <w:color w:val="000000"/>
          <w:rtl w:val="0"/>
        </w:rPr>
        <w:t>điểm d khoản 3 Điều 17 Nghị định này</w:t>
      </w:r>
      <w:bookmarkEnd w:id="162"/>
      <w:r>
        <w:rPr>
          <w:color w:val="000000"/>
          <w:rtl w:val="0"/>
        </w:rPr>
        <w:t xml:space="preserve"> và có chứng từ thanh toán không dùng tiền mặt.</w:t>
      </w:r>
    </w:p>
    <w:p>
      <w:pPr>
        <w:bidi w:val="0"/>
        <w:spacing w:before="120" w:beforeAutospacing="0" w:after="280" w:afterAutospacing="1"/>
      </w:pPr>
      <w:r>
        <w:rPr>
          <w:rtl w:val="0"/>
        </w:rPr>
        <w:t>6. Đối với hàng hóa gia công chuyển tiếp để xuất khẩu là hàng hóa gia công chuyển tiếp theo quy định của pháp luật thương mại và pháp luật về quản lý ngoại thương: hợp đồng gia công xuất khẩu và các phụ lục hợp đồng (nếu có) ký với nước ngoài, trong đó ghi rõ cơ sở nhận hàng tại Việt Nam; hóa đơn giá trị gia tăng ghi rõ giá gia công và số lượng hàng gia công trả nước ngoài (theo giá quy định trong hợp đồng ký với nước ngoài) và tên cơ sở nhận hàng theo chỉ định của bên nước ngoài; phiếu chuyển giao sản phẩm gia công chuyển tiếp (gọi tắt là Phiếu chuyển tiếp) có đủ xác nhận của bên giao, bên nhận sản phẩm gia công chuyển tiếp; hàng hóa gia công cho nước ngoài phải thanh toán không dùng tiền mặt theo quy định của pháp luật; tờ khai hải quan thực hiện theo quy định của pháp luật về hải quan.</w:t>
      </w:r>
    </w:p>
    <w:p>
      <w:pPr>
        <w:bidi w:val="0"/>
        <w:spacing w:before="120" w:beforeAutospacing="0" w:after="280" w:afterAutospacing="1"/>
      </w:pPr>
      <w:bookmarkStart w:id="163" w:name="khoan_7_28"/>
      <w:r>
        <w:rPr>
          <w:rtl w:val="0"/>
        </w:rPr>
        <w:t>7. Đối với hoạt động xây dựng, lắp đặt công trình ở nước ngoài hoặc ở trong khu phi thuế quan: có hợp đồng xây dựng, lắp đặt công trình ở nước ngoài hoặc ở trong khu phi thuế quan; có chứng từ thanh toán không dùng tiền mặt theo quy định của pháp luật.</w:t>
      </w:r>
      <w:bookmarkEnd w:id="163"/>
    </w:p>
    <w:p>
      <w:pPr>
        <w:bidi w:val="0"/>
        <w:spacing w:before="120" w:beforeAutospacing="0" w:after="280" w:afterAutospacing="1"/>
      </w:pPr>
      <w:r>
        <w:rPr>
          <w:rtl w:val="0"/>
        </w:rPr>
        <w:t>8. Trường hợp hàng hóa, vật tư do cơ sở kinh doanh xuất khẩu để thực hiện công trình xây dựng ở nước ngoài, ngoài quy định tại khoản 7 Điều này, cơ sở kinh doanh phải đáp ứng các điều kiện sau: tờ khai hải quan; hàng hóa, vật tư xuất khẩu phải phù hợp với Danh mục hàng hóa xuất khẩu để thực hiện công trình xây dựng ở nước ngoài do Giám đốc doanh nghiệp Việt Nam thực hiện công trình xây dựng ở nước ngoài phê duyệt; hợp đồng ủy thác xuất khẩu (trường hợp ủy thác xuất khẩu).</w:t>
      </w:r>
    </w:p>
    <w:p>
      <w:pPr>
        <w:bidi w:val="0"/>
        <w:spacing w:before="120" w:beforeAutospacing="0" w:after="280" w:afterAutospacing="1"/>
      </w:pPr>
      <w:r>
        <w:rPr>
          <w:rtl w:val="0"/>
        </w:rPr>
        <w:t>9. Trường hợp cơ sở kinh doanh có hàng hóa xuất khẩu đã có xác nhận của cơ quan hải quan nhưng không có đủ các thủ tục, hồ sơ khác về điều kiện khấu trừ thuế giá trị gia tăng đầu vào theo quy định đối với từng trường hợp cụ thể quy định tại Mục này thì không được khấu trừ thuế giá trị gia tăng đầu vào, không phải tính thuế giá trị gia tăng đầu ra. Riêng đối với trường hợp hàng hóa gia công chuyển tiếp, nếu không có đủ các thủ tục, hồ sơ về điều kiện khấu trừ thuế giá trị gia tăng đầu vào theo quy định thì phải tính và nộp thuế giá trị gia tăng như hàng hóa tiêu thụ nội địa. Đối với cơ sở kinh doanh có dịch vụ xuất khẩu nếu không đáp ứng điều kiện về thanh toán không dùng tiền mặt theo quy định thì không được khấu trừ thuế giá trị gia tăng đầu vào, không phải tính thuế giá trị gia tăng đầu ra.</w:t>
      </w:r>
    </w:p>
    <w:p>
      <w:pPr>
        <w:bidi w:val="0"/>
        <w:spacing w:before="120" w:beforeAutospacing="0" w:after="280" w:afterAutospacing="1"/>
      </w:pPr>
      <w:bookmarkStart w:id="164" w:name="muc_3_3"/>
      <w:r>
        <w:rPr>
          <w:b/>
          <w:bCs/>
          <w:rtl w:val="0"/>
        </w:rPr>
        <w:t>Mục 3. HOÀN THUẾ GIÁ TRỊ GIA TĂNG</w:t>
      </w:r>
      <w:bookmarkEnd w:id="164"/>
    </w:p>
    <w:p>
      <w:pPr>
        <w:bidi w:val="0"/>
        <w:spacing w:before="120" w:beforeAutospacing="0" w:after="280" w:afterAutospacing="1"/>
      </w:pPr>
      <w:bookmarkStart w:id="165" w:name="dieu_29"/>
      <w:r>
        <w:rPr>
          <w:b/>
          <w:bCs/>
          <w:rtl w:val="0"/>
        </w:rPr>
        <w:t>Điều 29. Hoàn thuế đối với xuất khẩu</w:t>
      </w:r>
      <w:bookmarkEnd w:id="165"/>
    </w:p>
    <w:p>
      <w:pPr>
        <w:bidi w:val="0"/>
        <w:spacing w:before="120" w:beforeAutospacing="0" w:after="280" w:afterAutospacing="1"/>
      </w:pPr>
      <w:r>
        <w:rPr>
          <w:rtl w:val="0"/>
        </w:rPr>
        <w:t>1. Cơ sở kinh doanh trong tháng, quý có hàng hóa, dịch vụ xuất khẩu nếu có số thuế giá trị gia tăng đầu vào chưa được khấu trừ hết từ 300 triệu đồng trở lên thì được hoàn thuế giá trị gia tăng theo tháng, quý, trừ trường hợp hàng hóa nhập khẩu sau đó xuất khẩu sang nước khác. Trong đó:</w:t>
      </w:r>
    </w:p>
    <w:p>
      <w:pPr>
        <w:bidi w:val="0"/>
        <w:spacing w:before="120" w:beforeAutospacing="0" w:after="280" w:afterAutospacing="1"/>
      </w:pPr>
      <w:r>
        <w:rPr>
          <w:rtl w:val="0"/>
        </w:rPr>
        <w:t>a) Đối tượng được hoàn thuế trong một số trường hợp xuất khẩu được xác định như sau: đối với trường hợp ủy thác xuất khẩu là cơ sở kinh doanh có hàng hóa ủy thác xuất khẩu; đối với gia công chuyển tiếp là cơ sở kinh doanh ký hợp đồng gia công xuất khẩu với bên nước ngoài; đối với hàng hóa xuất khẩu để thực hiện công trình xây dựng ở nước ngoài là cơ sở kinh doanh có hàng hóa xuất khẩu thực hiện công trình xây dựng ở nước ngoài.</w:t>
      </w:r>
    </w:p>
    <w:p>
      <w:pPr>
        <w:bidi w:val="0"/>
        <w:spacing w:before="120" w:beforeAutospacing="0" w:after="280" w:afterAutospacing="1"/>
      </w:pPr>
      <w:r>
        <w:rPr>
          <w:rtl w:val="0"/>
        </w:rPr>
        <w:t>b) Hàng hóa nhập khẩu sau đó xuất khẩu sang nước khác là hàng hóa do cơ sở kinh doanh nhập khẩu từ nước ngoài vào Việt Nam sau đó trực tiếp xuất khẩu hoặc ủy thác xuất khẩu, không bao gồm hàng hóa là nguyên liệu nhập khẩu để sản xuất, gia công hàng xuất khẩu.</w:t>
      </w:r>
    </w:p>
    <w:p>
      <w:pPr>
        <w:bidi w:val="0"/>
        <w:spacing w:before="120" w:beforeAutospacing="0" w:after="280" w:afterAutospacing="1"/>
      </w:pPr>
      <w:bookmarkStart w:id="166" w:name="khoan_2_29"/>
      <w:r>
        <w:rPr>
          <w:rtl w:val="0"/>
        </w:rPr>
        <w:t>2. Cơ sở kinh doanh trong tháng, quý vừa có hàng hóa, dịch vụ xuất khẩu, vừa có hàng hóa, dịch vụ tiêu thụ nội địa thì cơ sở kinh doanh phải hạch toán riêng số thuế giá trị gia tăng đầu vào sử dụng cho sản xuất, kinh doanh hàng hóa, dịch vụ xuất khẩu; trường hợp không hạch toán riêng được thi số thuế giá trị gia tăng đầu vào của hàng hóa, dịch vụ xuất khẩu được xác định theo tỷ lệ giữa doanh thu của hàng hóa, dịch vụ xuất khẩu trên tổng doanh thu hàng hóa, dịch vụ chịu thuế của kỳ hoàn thuế. Kỳ hoàn thuế được xác định từ kỳ tính thuế giá trị gia tăng có số thuế giá trị gia tăng đầu vào chưa khấu trừ hết liên tục chưa được hoàn thuế đến kỳ tính thuế có đề nghị hoàn thuế, số thuế giá trị gia tăng đầu vào của hàng hóa, dịch vụ xuất khẩu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tiêu thụ nội địa còn lại từ 300 triệu đồng trở lên thì cơ sở kinh doanh được hoàn thuế cho hàng hóa, dịch vụ xuất khẩu. Số thuế giá trị gia tăng được hoàn của hàng hóa, dịch vụ xuất khẩu không vượt quá 10% doanh thu của hàng hóa, dịch vụ xuất khẩu của kỳ hoàn thuế. Số thuế giá trị gia tăng đầu vào đã được xác định cho hàng hóa, dịch vụ xuất khẩu nhưng chưa được hoàn do vượt quá 10% doanh thu của hàng hóa, dịch vụ xuất khẩu của kỳ hoàn thuế trước được khấu trừ vào kỳ tính thuế tiếp theo để xác định số thuế giá trị gia tăng được hoàn của hàng hóa, dịch vụ xuất khẩu kỳ hoàn thuế tiếp theo. Bộ Tài chính quy định cách xác định số thuế giá trị gia tăng được hoàn đối với hàng hóa, dịch vụ xuất khẩu.</w:t>
      </w:r>
      <w:bookmarkEnd w:id="166"/>
    </w:p>
    <w:p>
      <w:pPr>
        <w:bidi w:val="0"/>
        <w:spacing w:before="120" w:beforeAutospacing="0" w:after="280" w:afterAutospacing="1"/>
      </w:pPr>
      <w:bookmarkStart w:id="167" w:name="dieu_30"/>
      <w:r>
        <w:rPr>
          <w:b/>
          <w:bCs/>
          <w:rtl w:val="0"/>
        </w:rPr>
        <w:t>Điều 30. Hoàn thuế đối với đầu tư</w:t>
      </w:r>
      <w:bookmarkEnd w:id="167"/>
    </w:p>
    <w:p>
      <w:pPr>
        <w:bidi w:val="0"/>
        <w:spacing w:before="120" w:beforeAutospacing="0" w:after="280" w:afterAutospacing="1"/>
      </w:pPr>
      <w:r>
        <w:rPr>
          <w:rtl w:val="0"/>
        </w:rPr>
        <w:t>1. Cơ sở kinh doanh đã đăng ký nộp thuế giá trị gia tăng theo phương pháp khấu trừ thuế có dự án đầu tư (dự án đầu tư mới, dự án đầu tư mở rộng) theo quy định của pháp luật về đầu tư (bao gồm cả dự án đầu tư được chia thành nhiều giai đoạn đầu tư hoặc nhiều hạng mục đầu tư, trừ trường hợp dự án đầu tư không hình thành tài sản cố định của doanh nghiệp) đang trong giai đoạn đầu tư hoặc dự án tìm kiếm thăm dò, phát triển mỏ dầu khí đang trong giai đoạn đầu tư có số thuế giá trị gia tăng đầu vào phát sinh trong giai đoạn đầu tư mà chưa được hoàn thuế thì cơ sở kinh doanh thực hiện bù trừ với số thuế giá trị gia tăng phải nộp của hoạt động sản xuất, kinh doanh đang thực hiện (nếu có). Sau khi bù trừ nếu số thuế giá trị gia tăng đầu vào của dự án đầu tư chưa được khấu trừ hết từ 300 triệu đồng trở lên thì được hoàn thuế giá trị gia tăng. Trường hợp dự án đầu tư đã hoàn thành (bao gồm cả dự án đầu tư chia thành nhiều giai đoạn, hạng mục đầu tư có giai đoạn, hạng mục đầu tư đã hoàn thành) nhưng cơ sở kinh doanh chưa thực hiện hoàn thuế giá trị gia tăng phát sinh trong giai đoạn đầu tư (hạng mục đầu tư, giai đoạn đầu tư đã hoàn thành) thì cơ sở kinh doanh thực hiện nộp hồ sơ hoàn thuế giá trị gia tăng theo quy định trong thời hạn 01 năm kể từ ngày dự án đầu tư hoặc ngày giai đoạn đầu tư, hạng mục đầu tư hoàn thành. Ngày dự án đầu tư hoặc ngày giai đoạn, hạng mục đầu tư hoàn thành là ngày phát sinh doanh thu của dự án đầu tư hoặc ngày phát sinh doanh thu của giai đoạn, hạng mục đầu tư. Doanh thu quy định tại Điều này không bao gồm doanh thu phát sinh trong giai đoạn chạy thử, doanh thu hoạt động tài chính, thanh lý nguyên vật liệu của dự án đầu tư.</w:t>
      </w:r>
    </w:p>
    <w:p>
      <w:pPr>
        <w:bidi w:val="0"/>
        <w:spacing w:before="120" w:beforeAutospacing="0" w:after="280" w:afterAutospacing="1"/>
      </w:pPr>
      <w:r>
        <w:rPr>
          <w:rtl w:val="0"/>
        </w:rPr>
        <w:t>Trường hợp cơ sở kinh doanh là chủ dự án đầu tư thành lập tổ chức kinh tế mới hoặc giao cho Ban Quản lý dự án, chi nhánh trực tiếp thực hiện, quản lý dự án đầu tư thì tổ chức kinh tế mới thành lập, Ban Quản lý dự án, chi nhánh được khấu trừ và hoàn thuế giá trị gia tăng đối với dự án đầu tư. Tổ chức kinh tế mới thành lập, Ban Quản lý dự án, chi nhánh phải bù trừ số thuế giá trị gia tăng của hàng hóa, dịch vụ mua vào sử dụng cho dự án đầu tư với số thuế giá trị gia tăng phải nộp của hoạt động sản xuất, kinh doanh đang thực hiện của cơ sở kinh doanh, tổ chức kinh tế, chi nhánh cùng kỳ tính thuế (nếu có). Sau khi bù trừ nếu số thuế giá trị gia tăng đầu vào của dự án đầu tư chưa được khấu trừ hết từ 300 triệu đồng trở lên thì được hoàn thuế giá trị gia tăng theo quy định tại Điều này. Khi dự án đầu tư, giai đoạn đầu tư, hạng mục đầu tư đã hoàn thành, trường hợp tổ chức kinh tế mới thành lập, Ban Quản lý dự án, chi nhánh không tiếp tục quản lý, vận hành hoạt động sản xuất, kinh doanh mà do chủ dự án đầu tư trực tiếp quản lý, vận hành hoạt động sản xuất, kinh doanh hoặc giao cho cơ sở kinh doanh khác quản lý, vận hành hoạt động sản xuất, kinh doanh thì tổ chức kinh tế mới thành lập, Ban Quản lý dự án, chi nhánh phải bàn giao số thuế giá trị gia tăng chưa khấu trừ hết của dự án đầu tư để bàn giao cho chủ dự án đầu tư hoặc cơ sở kinh doanh được giao quản lý, vận hành hoạt động sản xuất, kinh doanh để tiếp tục kê khai, khấu trừ cho hoạt động sản xuất, kinh doanh vào kỳ tính thuế tiếp theo ngày dự án đầu tư hoặc ngày giai đoạn đầu tư, hạng mục đầu tư hoàn thành.</w:t>
      </w:r>
    </w:p>
    <w:p>
      <w:pPr>
        <w:bidi w:val="0"/>
        <w:spacing w:before="120" w:beforeAutospacing="0" w:after="280" w:afterAutospacing="1"/>
      </w:pPr>
      <w:r>
        <w:rPr>
          <w:rtl w:val="0"/>
        </w:rPr>
        <w:t>Trường hợp dự án đầu tư đang trong giai đoạn đầu tư chưa đi vào hoạt động sản xuất, kinh doanh nhưng phải chấm dứt hoạt động của dự án đầu tư, chưa phát sinh thuế giá trị gia tăng đầu ra của hoạt động sản xuất, kinh doanh chính theo dự án đầu tư thì cơ sở kinh doanh phải nộp lại số thuế giá trị gia tăng đã được hoàn của dự án đầu tư vào ngân sách nhà nước theo quy định của pháp luật về quản lý thuế; đối với số thuế giá trị gia tăng chưa được hoàn thì không được giải quyết hoàn thuế.</w:t>
      </w:r>
    </w:p>
    <w:p>
      <w:pPr>
        <w:bidi w:val="0"/>
        <w:spacing w:before="120" w:beforeAutospacing="0" w:after="280" w:afterAutospacing="1"/>
      </w:pPr>
      <w:r>
        <w:rPr>
          <w:rtl w:val="0"/>
        </w:rPr>
        <w:t>2. Đối với dự án đầu tư của cơ sở kinh doanh ngành, nghề đầu tư kinh doanh có điều kiện thuộc các trường hợp sau thì cơ sở kinh doanh được hoàn thuế giá trị gia tăng đối với dự án đầu tư theo quy định tại khoản 1 Điều này:</w:t>
      </w:r>
    </w:p>
    <w:p>
      <w:pPr>
        <w:bidi w:val="0"/>
        <w:spacing w:before="120" w:beforeAutospacing="0" w:after="280" w:afterAutospacing="1"/>
      </w:pPr>
      <w:r>
        <w:rPr>
          <w:rtl w:val="0"/>
        </w:rPr>
        <w:t>a) Dự án đầu tư trong giai đoạn đầu tư, theo quy định của pháp luật đầu tư, pháp luật chuyên ngành đã được cơ quan nhà nước có thẩm quyền cấp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b) Dự án đầu tư trong giai đoạn đầu tư, theo quy định của pháp luật đầu tư, pháp luật chuyên ngành chưa phải đề nghị cơ quan nhà nước có thẩm quyền cấp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c) Dự án đầu tư theo quy định của pháp luật đầu tư, pháp luật chuyên ngành không phải có giấy kinh doanh ngành, nghề đầu tư kinh doanh có điều kiện theo một trong các hình thức: giấy phép hoặc giấy chứng nhận hoặc văn bản xác nhận, chấp thuận.</w:t>
      </w:r>
    </w:p>
    <w:p>
      <w:pPr>
        <w:bidi w:val="0"/>
        <w:spacing w:before="120" w:beforeAutospacing="0" w:after="280" w:afterAutospacing="1"/>
      </w:pPr>
      <w:r>
        <w:rPr>
          <w:rtl w:val="0"/>
        </w:rPr>
        <w:t>3. Cơ sở kinh doanh không được hoàn thuế giá trị gia tăng mà được kết chuyển số thuế chưa được khấu trừ của dự án đầu tư theo quy định của pháp luật về đầu tư sang kỳ tiếp theo đối với các trường hợp sau đây:</w:t>
      </w:r>
    </w:p>
    <w:p>
      <w:pPr>
        <w:bidi w:val="0"/>
        <w:spacing w:before="120" w:beforeAutospacing="0" w:after="280" w:afterAutospacing="1"/>
      </w:pPr>
      <w:r>
        <w:rPr>
          <w:rtl w:val="0"/>
        </w:rPr>
        <w:t>a) Dự án đầu tư của cơ sở kinh doanh không góp đủ số vốn điều lệ như đã đăng ký tại thời điểm nộp hồ sơ hoàn thuế.</w:t>
      </w:r>
    </w:p>
    <w:p>
      <w:pPr>
        <w:bidi w:val="0"/>
        <w:spacing w:before="120" w:beforeAutospacing="0" w:after="280" w:afterAutospacing="1"/>
      </w:pPr>
      <w:r>
        <w:rPr>
          <w:rtl w:val="0"/>
        </w:rPr>
        <w:t>b) Dự án đầu tư của cơ sở kinh doanh ngành, nghề đầu tư kinh doanh có điều kiện khi chưa đủ các điều kiện kinh doanh theo quy định của pháp luật về đầu tư trừ trường hợp quy định tại khoản 2 Điều này.</w:t>
      </w:r>
    </w:p>
    <w:p>
      <w:pPr>
        <w:bidi w:val="0"/>
        <w:spacing w:before="120" w:beforeAutospacing="0" w:after="280" w:afterAutospacing="1"/>
      </w:pPr>
      <w:r>
        <w:rPr>
          <w:rtl w:val="0"/>
        </w:rPr>
        <w:t>c) Dự án đầu tư của cơ sở kinh doanh ngành, nghề đầu tư kinh doanh có điều kiện không bảo đảm duy trì đủ điều kiện kinh doanh trong quá trình hoạt động là dự án đầu tư của cơ sở kinh doanh ngành, nghề đầu tư kinh doanh có điều kiện nhưng trong quá trình hoạt động cơ sở kinh doanh bị thu hồi một trong các giấy kinh doanh ngành, nghề đầu tư kinh doanh có điều kiện: giấy phép hoặc giấy chứng nhận hoặc văn bản xác nhận, chấp thuận; hoặc trong quá trình hoạt động cơ sở kinh doanh không đáp ứng được điều kiện để thực hiện đầu tư kinh doanh có điều kiện theo quy định của pháp luật về đầu tư thì thời điểm không hoàn thuế giá trị gia tăng được tính từ thời điểm cơ sở kinh doanh bị thu hồi một trong các loại giấy tờ nêu trên hoặc từ thời điểm cơ quan nhà nước có thẩm quyền kiểm tra, phát hiện cơ sở kinh doanh không đáp ứng được các điều kiện về đầu tư kinh doanh có điều kiện.</w:t>
      </w:r>
    </w:p>
    <w:p>
      <w:pPr>
        <w:bidi w:val="0"/>
        <w:spacing w:before="120" w:beforeAutospacing="0" w:after="280" w:afterAutospacing="1"/>
      </w:pPr>
      <w:r>
        <w:rPr>
          <w:rtl w:val="0"/>
        </w:rPr>
        <w:t xml:space="preserve">d) Dự án đầu tư khai thác tài nguyên, khoáng sản (không bao gồm dự án tìm kiếm thăm dò, phát triển mỏ dầu khí quy định tại khoản 1 Điều này) và dự án đầu tư sản xuất sản phẩm là tài nguyên, khoáng sản khai thác đã chế biến thành sản phẩm khác quy định tại </w:t>
      </w:r>
      <w:bookmarkStart w:id="168" w:name="tc_13"/>
      <w:r>
        <w:rPr>
          <w:rtl w:val="0"/>
        </w:rPr>
        <w:t>khoản 14 Điều 4 của Nghị định này</w:t>
      </w:r>
      <w:bookmarkEnd w:id="168"/>
      <w:r>
        <w:rPr>
          <w:rtl w:val="0"/>
        </w:rPr>
        <w:t>.</w:t>
      </w:r>
    </w:p>
    <w:p>
      <w:pPr>
        <w:bidi w:val="0"/>
        <w:spacing w:before="120" w:beforeAutospacing="0" w:after="280" w:afterAutospacing="1"/>
      </w:pPr>
      <w:bookmarkStart w:id="169" w:name="dieu_31"/>
      <w:r>
        <w:rPr>
          <w:b/>
          <w:bCs/>
          <w:rtl w:val="0"/>
        </w:rPr>
        <w:t>Điều 31. Hoàn thuế đối với hàng hóa, dịch vụ chịu thuế suất thuế giá trị gia tăng 5%</w:t>
      </w:r>
      <w:bookmarkEnd w:id="169"/>
    </w:p>
    <w:p>
      <w:pPr>
        <w:bidi w:val="0"/>
        <w:spacing w:before="120" w:beforeAutospacing="0" w:after="280" w:afterAutospacing="1"/>
      </w:pPr>
      <w:r>
        <w:rPr>
          <w:rtl w:val="0"/>
        </w:rPr>
        <w:t>Cơ sở kinh doanh chỉ sản xuất hàng hóa, cung cấp dịch vụ chịu thuế suất thuế giá trị gia tăng 5% nếu có số thuế giá trị gia tăng đầu vào chưa được khấu trừ hết từ 300 triệu đồng trở lên sau 12 tháng liên tục hoặc 04 quý liên tục thì được hoàn thuế giá trị gia tăng. Trường hợp cơ sở kinh doanh sản xuất hàng hóa, cung cấp dịch vụ chịu nhiều mức thuế suất thuế giá trị gia tăng thì cơ sở kinh doanh phải hạch toán riêng số thuế giá trị gia tăng đầu vào sử dụng cho sản xuất hàng hóa, cung cấp dịch vụ chịu thuế suất thuế giá trị gia tăng 5%, đối với số thuế giá trị gia tăng đầu vào sử dụng đồng thời cho sản xuất hàng hóa, cung cấp dịch vụ chịu thuế suất thuế giá trị gia tăng 5% và sử dụng cho sản xuất, kinh doanh hàng hóa, dịch vụ chịu nhiều mức thuế suất khác (bao gồm hàng hóa chịu thuế suất thuế giá trị gia tăng 5% khâu kinh doanh thương mại) nếu không hạch toán riêng được thì số thuế giá trị gia tăng đầu vào sử dụng cho sản xuất hàng hóa, cung cấp dịch vụ chịu thuế suất thuế giá trị gia tăng 5% được xác định theo tỷ lệ giữa doanh thu của hoạt động sản xuất hàng hóa, cung cấp dịch vụ chịu thuế suất thuế giá trị gia tăng 5% trên tổng doanh thu hàng hóa, dịch vụ chịu thuế của kỳ hoàn thuế. Kỳ hoàn thuế được xác định từ kỳ tính thuế giá trị gia tăng theo thuế suất thuế giá trị gia tăng 5% có số thuế giá trị gia tăng đầu vào chưa khấu trừ hết liên tục chưa được hoàn thuế đến kỳ tính thuế có đề nghị hoàn thuế, số thuế giá trị gia tăng đầu vào sử dụng cho sản xuất hàng hóa, cung cấp dịch vụ chịu thuế suất thuế giá trị gia tăng 5% (bao gồm số thuế giá trị gia tăng đầu vào hạch toán riêng được và số thuế giá trị gia tăng đầu vào được xác định theo tỷ lệ nêu trên) nếu sau khi bù trừ với số thuế giá trị gia tăng phải nộp của hàng hóa, dịch vụ chịu thuế (nếu có) còn lại từ 300 triệu đồng trở lên thì cơ sở kinh doanh được hoàn thuế giá trị gia tăng đầu vào sử dụng cho sản xuất hàng hóa, cung cấp dịch vụ chịu thuế suất thuế giá trị gia tăng 5%. Bộ Tài chính quy định cách xác định số thuế giá trị gia tăng được hoàn đối với hoạt động sản xuất hàng hóa, cung cấp dịch vụ chịu thuế suất thuế giá trị gia tăng 5%.</w:t>
      </w:r>
    </w:p>
    <w:p>
      <w:pPr>
        <w:bidi w:val="0"/>
        <w:spacing w:before="120" w:beforeAutospacing="0" w:after="280" w:afterAutospacing="1"/>
      </w:pPr>
      <w:bookmarkStart w:id="170" w:name="dieu_32"/>
      <w:r>
        <w:rPr>
          <w:b/>
          <w:bCs/>
          <w:rtl w:val="0"/>
        </w:rPr>
        <w:t>Điều 32. Hoàn thuế đối với cơ sở kinh doanh khi giải thể, phá sản</w:t>
      </w:r>
      <w:bookmarkEnd w:id="170"/>
    </w:p>
    <w:p>
      <w:pPr>
        <w:bidi w:val="0"/>
        <w:spacing w:before="120" w:beforeAutospacing="0" w:after="280" w:afterAutospacing="1"/>
      </w:pPr>
      <w:r>
        <w:rPr>
          <w:rtl w:val="0"/>
        </w:rPr>
        <w:t xml:space="preserve">Cơ sở kinh doanh nộp thuế giá trị gia tăng theo phương pháp khấu trừ thuế được hoàn thuế giá trị gia tăng khi giải thể, phá sản có số thuế giá trị gia tăng nộp thừa hoặc số thuế giá trị gia tăng đầu vào chưa được khấu trừ hết (trừ trường hợp cơ sở kinh doanh giải thể và chấm dứt hoạt động của dự án đầu tư quy định tại </w:t>
      </w:r>
      <w:bookmarkStart w:id="171" w:name="tc_14"/>
      <w:r>
        <w:rPr>
          <w:rtl w:val="0"/>
        </w:rPr>
        <w:t>khoản 1 Điều 30 Nghị định này</w:t>
      </w:r>
      <w:bookmarkEnd w:id="171"/>
      <w:r>
        <w:rPr>
          <w:rtl w:val="0"/>
        </w:rPr>
        <w:t>). Cơ sở kinh doanh phải thực hiện theo quy định của pháp luật về giải thể, phá sản và quản lý thuế. Trường hợp chi nhánh của doanh nghiệp nộp thuế giá trị gia tăng theo phương pháp khấu trừ thuế giải thể, tổ hợp tác nộp thuế theo phương pháp khấu trừ thuế chuyển đổi thành hợp tác xã, liên hiệp hợp tác xã thì doanh nghiệp, hợp tác xã, liên hiệp hợp tác xã được kế thừa số thuế giá trị gia tăng nộp thừa hoặc số thuế giá trị gia tăng đầu vào chưa được khấu trừ hết của tổ hợp tác, chi nhánh để khấu trừ, hoàn thuế theo quy định.</w:t>
      </w:r>
    </w:p>
    <w:p>
      <w:pPr>
        <w:bidi w:val="0"/>
        <w:spacing w:before="120" w:beforeAutospacing="0" w:after="280" w:afterAutospacing="1"/>
      </w:pPr>
      <w:bookmarkStart w:id="172" w:name="dieu_33"/>
      <w:r>
        <w:rPr>
          <w:b/>
          <w:bCs/>
          <w:rtl w:val="0"/>
        </w:rPr>
        <w:t>Điều 33. Hoàn thuế đối với hàng hóa mua tại Việt Nam mang theo khi xuất cảnh</w:t>
      </w:r>
      <w:bookmarkEnd w:id="172"/>
    </w:p>
    <w:p>
      <w:pPr>
        <w:bidi w:val="0"/>
        <w:spacing w:before="120" w:beforeAutospacing="0" w:after="280" w:afterAutospacing="1"/>
      </w:pPr>
      <w:r>
        <w:rPr>
          <w:rtl w:val="0"/>
        </w:rPr>
        <w:t xml:space="preserve">Người nước ngoài, người Việt Nam định cư ở nước ngoài (trừ thành viên của Tổ bay theo quy định của pháp luật về hàng không, thành viên của Đoàn thủy thủ theo quy định của pháp luật về hàng hải) mang hộ chiếu hoặc giấy tờ có giá trị đi lại quốc tế được hoàn thuế đối với hàng hóa mua tại Việt Nam mang theo khi xuất cảnh. Hồ sơ, thủ tục, số thuế được hoàn, phương thức hoàn thuế đối với trường hợp quy định tại khoản này được quy định tại </w:t>
      </w:r>
      <w:bookmarkStart w:id="173" w:name="bieumau_pl_04"/>
      <w:r>
        <w:rPr>
          <w:rtl w:val="0"/>
        </w:rPr>
        <w:t>Phụ lục IV</w:t>
      </w:r>
      <w:bookmarkEnd w:id="173"/>
      <w:r>
        <w:rPr>
          <w:rtl w:val="0"/>
        </w:rPr>
        <w:t xml:space="preserve"> ban hành kèm theo Nghị định này.</w:t>
      </w:r>
    </w:p>
    <w:p>
      <w:pPr>
        <w:bidi w:val="0"/>
        <w:spacing w:before="120" w:beforeAutospacing="0" w:after="280" w:afterAutospacing="1"/>
      </w:pPr>
      <w:bookmarkStart w:id="174" w:name="dieu_34"/>
      <w:r>
        <w:rPr>
          <w:b/>
          <w:bCs/>
          <w:rtl w:val="0"/>
        </w:rPr>
        <w:t>Điều 34. Hoàn thuế đối với các chương trình, dự án sử dụng vốn hỗ trợ phát triển chính thức (ODA) không hoàn lại hoặc viện trợ không hoàn lại, viện trợ nhân đạo</w:t>
      </w:r>
      <w:bookmarkEnd w:id="174"/>
    </w:p>
    <w:p>
      <w:pPr>
        <w:bidi w:val="0"/>
        <w:spacing w:before="120" w:beforeAutospacing="0" w:after="280" w:afterAutospacing="1"/>
      </w:pPr>
      <w:r>
        <w:rPr>
          <w:rtl w:val="0"/>
        </w:rPr>
        <w:t>Việc hoàn thuế giá trị gia tăng đối với các chương trình, dự án sử dụng vốn hỗ trợ phát triển chính thức (ODA) không hoàn lại hoặc viện trợ không hoàn lại, viện trợ nhân đạo được quy định như sau:</w:t>
      </w:r>
    </w:p>
    <w:p>
      <w:pPr>
        <w:bidi w:val="0"/>
        <w:spacing w:before="120" w:beforeAutospacing="0" w:after="280" w:afterAutospacing="1"/>
      </w:pPr>
      <w:r>
        <w:rPr>
          <w:rtl w:val="0"/>
        </w:rPr>
        <w:t>1. Chủ chương trình, dự án hoặc nhà thầu chính (bao gồm cả Văn phòng điều hành của nhà thầu chính tại Việt Nam), tổ chức do phía nhà tài trợ nước ngoài chỉ định việc quản lý chương trình, dự án sử dụng vốn ODA (bao gồm cả Văn phòng đại diện của nhà tài trợ hoặc tổ chức quản lý, thực hiện chương trình, dự án do nhà tài trợ chỉ định) được hoàn số thuế giá trị gia tăng đã trả cho hàng hóa, dịch vụ mua tại Việt Nam để phục vụ cho chương trình, dự án.</w:t>
      </w:r>
    </w:p>
    <w:p>
      <w:pPr>
        <w:bidi w:val="0"/>
        <w:spacing w:before="120" w:beforeAutospacing="0" w:after="280" w:afterAutospacing="1"/>
      </w:pPr>
      <w:r>
        <w:rPr>
          <w:rtl w:val="0"/>
        </w:rPr>
        <w:t>2. Tổ chức ở Việt Nam sử dụng tiền viện trợ không hoàn lại, tiền viện trợ nhân đạo của tổ chức, cá nhân nước ngoài để mua hàng hóa, dịch vụ phục vụ cho chương trình, dự án viện trợ không hoàn lại, viện trợ nhân đạo tại Việt Nam thì được hoàn số thuế giá trị gia tăng đã trả cho hàng hóa, dịch vụ đó.</w:t>
      </w:r>
    </w:p>
    <w:p>
      <w:pPr>
        <w:bidi w:val="0"/>
        <w:spacing w:before="120" w:beforeAutospacing="0" w:after="280" w:afterAutospacing="1"/>
      </w:pPr>
      <w:bookmarkStart w:id="175" w:name="dieu_35"/>
      <w:r>
        <w:rPr>
          <w:b/>
          <w:bCs/>
          <w:rtl w:val="0"/>
        </w:rPr>
        <w:t>Điều 35. Hoàn thuế đối với hàng hóa, dịch vụ mua tại Việt Nam của đối tượng được hưởng quyền ưu đãi miễn trừ ngoại giao</w:t>
      </w:r>
      <w:bookmarkEnd w:id="175"/>
    </w:p>
    <w:p>
      <w:pPr>
        <w:bidi w:val="0"/>
        <w:spacing w:before="120" w:beforeAutospacing="0" w:after="280" w:afterAutospacing="1"/>
      </w:pPr>
      <w:r>
        <w:rPr>
          <w:rtl w:val="0"/>
        </w:rPr>
        <w:t>Đối tượng được hưởng quyền ưu đãi miễn trừ ngoại giao theo quy định của pháp luật về ngoại giao mua hàng hóa, dịch vụ tại Việt Nam đế sử dụng được hoàn số thuế giá trị gia tăng đã trả ghi trên hóa đơn giá trị gia tăng hoặc trên chứng từ thanh toán ghi giá thanh toán đã có thuế giá trị gia tăng.</w:t>
      </w:r>
    </w:p>
    <w:p>
      <w:pPr>
        <w:bidi w:val="0"/>
        <w:spacing w:before="120" w:beforeAutospacing="0" w:after="280" w:afterAutospacing="1"/>
      </w:pPr>
      <w:bookmarkStart w:id="176" w:name="dieu_36"/>
      <w:r>
        <w:rPr>
          <w:b/>
          <w:bCs/>
          <w:rtl w:val="0"/>
        </w:rPr>
        <w:t>Điều 36. Hoàn thuế theo điều ước quốc tế</w:t>
      </w:r>
      <w:bookmarkEnd w:id="176"/>
    </w:p>
    <w:p>
      <w:pPr>
        <w:bidi w:val="0"/>
        <w:spacing w:before="120" w:beforeAutospacing="0" w:after="280" w:afterAutospacing="1"/>
      </w:pPr>
      <w:r>
        <w:rPr>
          <w:rtl w:val="0"/>
        </w:rPr>
        <w:t>Cơ sở kinh doanh có quyết định hoàn thuế giá trị gia tăng của cơ quan có thẩm quyền theo quy định của pháp luật và trường hợp hoàn thuế giá trị gia tăng theo điều ước quốc tế mà nước Cộng hòa xã hội chủ nghĩa Việt Nam là thành viên.</w:t>
      </w:r>
    </w:p>
    <w:p>
      <w:pPr>
        <w:bidi w:val="0"/>
        <w:spacing w:before="120" w:beforeAutospacing="0" w:after="280" w:afterAutospacing="1"/>
      </w:pPr>
      <w:bookmarkStart w:id="177" w:name="dieu_37"/>
      <w:r>
        <w:rPr>
          <w:b/>
          <w:bCs/>
          <w:rtl w:val="0"/>
        </w:rPr>
        <w:t>Điều 37. Điều kiện hoàn thuế giá trị gia tăng</w:t>
      </w:r>
      <w:bookmarkEnd w:id="177"/>
    </w:p>
    <w:p>
      <w:pPr>
        <w:bidi w:val="0"/>
        <w:spacing w:before="120" w:beforeAutospacing="0" w:after="280" w:afterAutospacing="1"/>
      </w:pPr>
      <w:r>
        <w:rPr>
          <w:rtl w:val="0"/>
        </w:rPr>
        <w:t>Cơ sở kinh doanh thuộc trường hợp hoàn thuế quy định tại Mục này phải đáp ứng điều kiện sau đây:</w:t>
      </w:r>
    </w:p>
    <w:p>
      <w:pPr>
        <w:bidi w:val="0"/>
        <w:spacing w:before="120" w:beforeAutospacing="0" w:after="280" w:afterAutospacing="1"/>
      </w:pPr>
      <w:r>
        <w:rPr>
          <w:rtl w:val="0"/>
        </w:rPr>
        <w:t xml:space="preserve">1. Cơ sở kinh doanh thuộc trường hợp được hoàn thuế theo quy định tại các </w:t>
      </w:r>
      <w:bookmarkStart w:id="178" w:name="tc_15"/>
      <w:r>
        <w:rPr>
          <w:rtl w:val="0"/>
        </w:rPr>
        <w:t>Điều 29, Điều 30</w:t>
      </w:r>
      <w:bookmarkEnd w:id="178"/>
      <w:r>
        <w:rPr>
          <w:rtl w:val="0"/>
        </w:rPr>
        <w:t xml:space="preserve">, </w:t>
      </w:r>
      <w:bookmarkStart w:id="179" w:name="tc_16"/>
      <w:r>
        <w:rPr>
          <w:rtl w:val="0"/>
        </w:rPr>
        <w:t>Điều 31, Điều 32 Nghị định này</w:t>
      </w:r>
      <w:bookmarkEnd w:id="179"/>
      <w:r>
        <w:rPr>
          <w:rtl w:val="0"/>
        </w:rPr>
        <w:t xml:space="preserve"> phải là cơ sở kinh doanh nộp thuế giá trị gia tăng theo phương pháp khấu trừ thuế, lập và lưu giữ sổ kế toán, chứng từ kế toán theo quy định của pháp luật về kế toán; có tài khoản tiền gửi tại ngân hàng theo mã số thuế của cơ sở kinh doanh.</w:t>
      </w:r>
    </w:p>
    <w:p>
      <w:pPr>
        <w:bidi w:val="0"/>
        <w:spacing w:before="120" w:beforeAutospacing="0" w:after="280" w:afterAutospacing="1"/>
      </w:pPr>
      <w:r>
        <w:rPr>
          <w:rtl w:val="0"/>
        </w:rPr>
        <w:t xml:space="preserve">2. Đáp ứng quy định về khấu trừ thuế giá trị gia tăng đầu vào theo quy định tại Mục 2 Chương III và không thuộc trường hợp quy định tại </w:t>
      </w:r>
      <w:bookmarkStart w:id="180" w:name="tc_17"/>
      <w:r>
        <w:rPr>
          <w:rtl w:val="0"/>
        </w:rPr>
        <w:t>khoản 15 Điều 23 Nghị định này</w:t>
      </w:r>
      <w:bookmarkEnd w:id="180"/>
      <w:r>
        <w:rPr>
          <w:rtl w:val="0"/>
        </w:rPr>
        <w:t>.</w:t>
      </w:r>
    </w:p>
    <w:p>
      <w:pPr>
        <w:bidi w:val="0"/>
        <w:spacing w:before="120" w:beforeAutospacing="0" w:after="280" w:afterAutospacing="1"/>
      </w:pPr>
      <w:bookmarkStart w:id="181" w:name="khoan_3_37"/>
      <w:r>
        <w:rPr>
          <w:rtl w:val="0"/>
        </w:rPr>
        <w:t>3. Người bán đã kê khai, nộp thuế giá trị gia tăng theo quy định đối với hóa đơn đã xuất cho cơ sở kinh doanh đề nghị hoàn thuế được xác định như sau:</w:t>
      </w:r>
      <w:bookmarkEnd w:id="181"/>
    </w:p>
    <w:p>
      <w:pPr>
        <w:bidi w:val="0"/>
        <w:spacing w:before="120" w:beforeAutospacing="0" w:after="280" w:afterAutospacing="1"/>
      </w:pPr>
      <w:r>
        <w:rPr>
          <w:rtl w:val="0"/>
        </w:rPr>
        <w:t>a) Tại thời điểm cơ sở kinh doanh nộp hồ sơ hoàn thuế, người bán đã nộp hồ sơ khai thuế giá trị gia tăng theo quy định và không còn nợ tiền thuế giá trị gia tăng của kỳ tính thuế tương ứng với kỳ tính thuế thuộc kỳ hoàn thuế của cơ sở kinh doanh đề nghị hoàn thuế.</w:t>
      </w:r>
    </w:p>
    <w:p>
      <w:pPr>
        <w:bidi w:val="0"/>
        <w:spacing w:before="120" w:beforeAutospacing="0" w:after="280" w:afterAutospacing="1"/>
      </w:pPr>
      <w:r>
        <w:rPr>
          <w:rtl w:val="0"/>
        </w:rPr>
        <w:t>b) Cơ quan quản lý thuế tại thời điểm cơ sở kinh doanh nộp hồ sơ hoàn thuế trên cơ sở kết quả xử lý của hệ thống công nghệ thông tin tự động để xác định người bán đã kê khai, nộp thuế giá trị gia tăng theo quy định.</w:t>
      </w:r>
    </w:p>
    <w:p>
      <w:pPr>
        <w:bidi w:val="0"/>
        <w:spacing w:before="120" w:beforeAutospacing="0" w:after="280" w:afterAutospacing="1"/>
      </w:pPr>
      <w:r>
        <w:rPr>
          <w:rtl w:val="0"/>
        </w:rPr>
        <w:t>c) Trường hợp xác định người bán chưa nộp đầy đủ hồ sơ khai thuế giá trị gia tăng của kỳ tính thuế tương ứng với kỳ tính thuế thuộc kỳ hoàn thuế của cơ sở kinh doanh (bao gồm cả trường hợp chưa đến thời hạn nộp hồ sơ khai thuế) hoặc còn nợ tiền thuế giá trị gia tăng của kỳ tính thuế tương ứng với kỳ tính thuế thuộc kỳ hoàn thuế thì cơ sở kinh doanh không được hoàn thuế đối với các hóa đơn tương ứng với kỳ tính thuế người bán chưa nộp đầy đủ hồ sơ khai thuế giá trị gia tăng hoặc còn nợ tiền thuế giá trị gia tăng.</w:t>
      </w:r>
    </w:p>
    <w:p>
      <w:pPr>
        <w:bidi w:val="0"/>
        <w:spacing w:before="120" w:beforeAutospacing="0" w:after="280" w:afterAutospacing="1"/>
      </w:pPr>
      <w:r>
        <w:rPr>
          <w:rtl w:val="0"/>
        </w:rPr>
        <w:t>4. Tại thời điểm cơ sở kinh doanh nộp hồ sơ hoàn thuế, cơ sở kinh doanh thuộc trường hợp hoàn thuế giá trị gia tăng, có số thuế giá trị gia tăng đầu vào đáp ứng đầy đủ điều kiện hoàn thuế theo quy định tại Mục này và tuân thủ các quy định về khai thuế theo quy định của pháp luật về quản lý thuế, lập hồ sơ hoàn thuế giá trị gia tăng đối với từng trường hợp hoàn thuế giá trị gia tăng và gửi đến cơ quan thuế có thẩm quyền tiếp nhận. Cơ quan thuế phân loại hồ sơ hoàn thuế giá trị gia tăng thuộc diện hoàn thuế trước hoặc kiểm tra trước hoàn thuế và giải quyết hồ sơ hoàn thuế giá trị gia tăng theo quy định của pháp luật về quản lý thuế.</w:t>
      </w:r>
    </w:p>
    <w:p>
      <w:pPr>
        <w:bidi w:val="0"/>
        <w:spacing w:before="120" w:beforeAutospacing="0" w:after="280" w:afterAutospacing="1"/>
      </w:pPr>
      <w:bookmarkStart w:id="182" w:name="chuong_4"/>
      <w:r>
        <w:rPr>
          <w:b/>
          <w:bCs/>
          <w:rtl w:val="0"/>
        </w:rPr>
        <w:t>Chương IV</w:t>
      </w:r>
      <w:bookmarkEnd w:id="182"/>
    </w:p>
    <w:p>
      <w:pPr>
        <w:bidi w:val="0"/>
        <w:spacing w:before="120" w:beforeAutospacing="0" w:after="280" w:afterAutospacing="1"/>
        <w:jc w:val="center"/>
      </w:pPr>
      <w:bookmarkStart w:id="183" w:name="chuong_4_name"/>
      <w:r>
        <w:rPr>
          <w:b/>
          <w:bCs/>
          <w:sz w:val="24"/>
          <w:rtl w:val="0"/>
        </w:rPr>
        <w:t>ĐIỀU KHOẢN THI HÀNH</w:t>
      </w:r>
      <w:bookmarkEnd w:id="183"/>
    </w:p>
    <w:p>
      <w:pPr>
        <w:bidi w:val="0"/>
        <w:spacing w:before="120" w:beforeAutospacing="0" w:after="280" w:afterAutospacing="1"/>
      </w:pPr>
      <w:bookmarkStart w:id="184" w:name="dieu_38"/>
      <w:r>
        <w:rPr>
          <w:b/>
          <w:bCs/>
          <w:rtl w:val="0"/>
        </w:rPr>
        <w:t>Điều 38. Hiệu lực thi hành</w:t>
      </w:r>
      <w:bookmarkEnd w:id="184"/>
    </w:p>
    <w:p>
      <w:pPr>
        <w:bidi w:val="0"/>
        <w:spacing w:before="120" w:beforeAutospacing="0" w:after="280" w:afterAutospacing="1"/>
      </w:pPr>
      <w:r>
        <w:rPr>
          <w:rtl w:val="0"/>
        </w:rPr>
        <w:t>1. Nghị định này có hiệu lực thi hành từ ngày 01 tháng 7 năm 2025.</w:t>
      </w:r>
    </w:p>
    <w:p>
      <w:pPr>
        <w:bidi w:val="0"/>
        <w:spacing w:before="120" w:beforeAutospacing="0" w:after="280" w:afterAutospacing="1"/>
      </w:pPr>
      <w:bookmarkStart w:id="185" w:name="khoan_2_38"/>
      <w:r>
        <w:rPr>
          <w:rtl w:val="0"/>
        </w:rPr>
        <w:t>2. Nghị định này thay thế:</w:t>
      </w:r>
      <w:bookmarkEnd w:id="185"/>
    </w:p>
    <w:p>
      <w:pPr>
        <w:bidi w:val="0"/>
        <w:spacing w:before="120" w:beforeAutospacing="0" w:after="280" w:afterAutospacing="1"/>
      </w:pPr>
      <w:r>
        <w:rPr>
          <w:rtl w:val="0"/>
        </w:rPr>
        <w:t xml:space="preserve">a) Nghị định số </w:t>
      </w:r>
      <w:bookmarkStart w:id="186" w:name="tvpllink_gytpxskymt"/>
      <w:r>
        <w:rPr>
          <w:rtl w:val="0"/>
        </w:rPr>
        <w:t>209/2013/NĐ-CP</w:t>
      </w:r>
      <w:bookmarkEnd w:id="186"/>
      <w:r>
        <w:rPr>
          <w:rtl w:val="0"/>
        </w:rPr>
        <w:t xml:space="preserve"> ngày 18 tháng 12 năm 2013 của Chính phủ quy định chi tiết và hướng dẫn thi hành một số điều </w:t>
      </w:r>
      <w:bookmarkStart w:id="187" w:name="tvpllink_yfeonwnuvk"/>
      <w:r>
        <w:rPr>
          <w:rtl w:val="0"/>
        </w:rPr>
        <w:t>Luật Thuế giá trị gia tăng</w:t>
      </w:r>
      <w:bookmarkEnd w:id="187"/>
      <w:r>
        <w:rPr>
          <w:rtl w:val="0"/>
        </w:rPr>
        <w:t>.</w:t>
      </w:r>
    </w:p>
    <w:p>
      <w:pPr>
        <w:bidi w:val="0"/>
        <w:spacing w:before="120" w:beforeAutospacing="0" w:after="280" w:afterAutospacing="1"/>
      </w:pPr>
      <w:r>
        <w:rPr>
          <w:rtl w:val="0"/>
        </w:rPr>
        <w:t xml:space="preserve">b) Nghị định số </w:t>
      </w:r>
      <w:bookmarkStart w:id="188" w:name="tvpllink_zwgvguumiw"/>
      <w:r>
        <w:rPr>
          <w:rtl w:val="0"/>
        </w:rPr>
        <w:t>49/2022/NĐ-CP</w:t>
      </w:r>
      <w:bookmarkEnd w:id="188"/>
      <w:r>
        <w:rPr>
          <w:rtl w:val="0"/>
        </w:rPr>
        <w:t xml:space="preserve"> ngày 29 tháng 7 năm 2022 của Chính phủ sửa đổi, bổ sung một số điều của Nghị định số </w:t>
      </w:r>
      <w:bookmarkStart w:id="189" w:name="tvpllink_gytpxskymt_1"/>
      <w:r>
        <w:rPr>
          <w:rtl w:val="0"/>
        </w:rPr>
        <w:t>209/2013/NĐ-CP</w:t>
      </w:r>
      <w:bookmarkEnd w:id="189"/>
      <w:r>
        <w:rPr>
          <w:rtl w:val="0"/>
        </w:rPr>
        <w:t xml:space="preserve"> ngày 18 tháng 12 năm 2013 của Chính phủ quy định chi tiết và hướng dẫn thi hành một số điều </w:t>
      </w:r>
      <w:bookmarkStart w:id="190" w:name="tvpllink_yfeonwnuvk_1"/>
      <w:r>
        <w:rPr>
          <w:rtl w:val="0"/>
        </w:rPr>
        <w:t>Luật Thuế giá trị gia tăng</w:t>
      </w:r>
      <w:bookmarkEnd w:id="190"/>
      <w:r>
        <w:rPr>
          <w:rtl w:val="0"/>
        </w:rPr>
        <w:t xml:space="preserve"> đã được sửa đổi, bổ sung một số điều theo Nghị định số </w:t>
      </w:r>
      <w:bookmarkStart w:id="191" w:name="tvpllink_anzsxvzevp"/>
      <w:r>
        <w:rPr>
          <w:rtl w:val="0"/>
        </w:rPr>
        <w:t>12/2015/NĐ-CP</w:t>
      </w:r>
      <w:bookmarkEnd w:id="191"/>
      <w:r>
        <w:rPr>
          <w:rtl w:val="0"/>
        </w:rPr>
        <w:t xml:space="preserve">, Nghị định số </w:t>
      </w:r>
      <w:bookmarkStart w:id="192" w:name="tvpllink_smyhvotubj"/>
      <w:r>
        <w:rPr>
          <w:rtl w:val="0"/>
        </w:rPr>
        <w:t>100/2016/NĐ-CP</w:t>
      </w:r>
      <w:bookmarkEnd w:id="192"/>
      <w:r>
        <w:rPr>
          <w:rtl w:val="0"/>
        </w:rPr>
        <w:t xml:space="preserve"> và Nghị định số </w:t>
      </w:r>
      <w:bookmarkStart w:id="193" w:name="tvpllink_gxepcbanyd"/>
      <w:r>
        <w:rPr>
          <w:rtl w:val="0"/>
        </w:rPr>
        <w:t>146/2017/NĐ-CP</w:t>
      </w:r>
      <w:bookmarkEnd w:id="193"/>
      <w:r>
        <w:rPr>
          <w:rtl w:val="0"/>
        </w:rPr>
        <w:t>.</w:t>
      </w:r>
    </w:p>
    <w:p>
      <w:pPr>
        <w:bidi w:val="0"/>
        <w:spacing w:before="120" w:beforeAutospacing="0" w:after="280" w:afterAutospacing="1"/>
      </w:pPr>
      <w:r>
        <w:rPr>
          <w:rtl w:val="0"/>
        </w:rPr>
        <w:t xml:space="preserve">c) Quy định việc xác định sản phẩm có tổng giá trị tài nguyên, khoáng sản cộng với chi phí năng lượng chiếm từ 51% giá thành sản phẩm trở lên tại </w:t>
      </w:r>
      <w:bookmarkStart w:id="194" w:name="dc_27"/>
      <w:r>
        <w:rPr>
          <w:rtl w:val="0"/>
        </w:rPr>
        <w:t>điểm a khoản 1 Điều 11 và khoản 2 Điều 15 Nghị định số 134/2016/NĐ-CP</w:t>
      </w:r>
      <w:bookmarkEnd w:id="194"/>
      <w:r>
        <w:rPr>
          <w:rtl w:val="0"/>
        </w:rPr>
        <w:t xml:space="preserve"> ngày 01 tháng 9 năm 2016 của Chính phủ quy định chi tiết một số điều và biện pháp thi hành </w:t>
      </w:r>
      <w:bookmarkStart w:id="195" w:name="tvpllink_hadubejmqv"/>
      <w:r>
        <w:rPr>
          <w:rtl w:val="0"/>
        </w:rPr>
        <w:t>Luật Thuế xuất khẩu, thuế nhập khẩu</w:t>
      </w:r>
      <w:bookmarkEnd w:id="195"/>
      <w:r>
        <w:rPr>
          <w:rtl w:val="0"/>
        </w:rPr>
        <w:t xml:space="preserve"> (đã được sửa đổi, bổ sung tại Nghị định số </w:t>
      </w:r>
      <w:bookmarkStart w:id="196" w:name="tvpllink_eenqazgnnl"/>
      <w:r>
        <w:rPr>
          <w:rtl w:val="0"/>
        </w:rPr>
        <w:t>18/2021/NĐ-CP</w:t>
      </w:r>
      <w:bookmarkEnd w:id="196"/>
      <w:r>
        <w:rPr>
          <w:rtl w:val="0"/>
        </w:rPr>
        <w:t xml:space="preserve"> ngày 11 tháng 3 năm 2021 của Chính phủ sửa đổi, bổ sung một số điều của Nghị định số </w:t>
      </w:r>
      <w:bookmarkStart w:id="197" w:name="tvpllink_bxsxgbjyaz"/>
      <w:r>
        <w:rPr>
          <w:rtl w:val="0"/>
        </w:rPr>
        <w:t>134/2016/NĐ-CP</w:t>
      </w:r>
      <w:bookmarkEnd w:id="197"/>
      <w:r>
        <w:rPr>
          <w:rtl w:val="0"/>
        </w:rPr>
        <w:t xml:space="preserve"> ngày 01 tháng 9 năm 2016 của Chính phủ quy định chi tiết một số điều và biện pháp thi hành </w:t>
      </w:r>
      <w:bookmarkStart w:id="198" w:name="tvpllink_hadubejmqv_1"/>
      <w:r>
        <w:rPr>
          <w:rtl w:val="0"/>
        </w:rPr>
        <w:t>Luật Thuế xuất khẩu, thuế nhập khẩu</w:t>
      </w:r>
      <w:bookmarkEnd w:id="198"/>
      <w:r>
        <w:rPr>
          <w:rtl w:val="0"/>
        </w:rPr>
        <w:t xml:space="preserve">), </w:t>
      </w:r>
      <w:bookmarkStart w:id="199" w:name="dc_28"/>
      <w:r>
        <w:rPr>
          <w:rtl w:val="0"/>
        </w:rPr>
        <w:t>điểm b khoản 2 Điều 4</w:t>
      </w:r>
      <w:bookmarkEnd w:id="199"/>
      <w:r>
        <w:rPr>
          <w:rtl w:val="0"/>
        </w:rPr>
        <w:t xml:space="preserve"> và </w:t>
      </w:r>
      <w:bookmarkStart w:id="200" w:name="bieumau_ms_14_pl2_26_2023_nd_cp"/>
      <w:r>
        <w:rPr>
          <w:rtl w:val="0"/>
        </w:rPr>
        <w:t>Mẫu số 14, Phụ lục II</w:t>
      </w:r>
      <w:bookmarkEnd w:id="200"/>
      <w:r>
        <w:rPr>
          <w:rtl w:val="0"/>
        </w:rPr>
        <w:t xml:space="preserve"> ban hành kèm theo Nghị định số </w:t>
      </w:r>
      <w:bookmarkStart w:id="201" w:name="tvpllink_aneophtzwu"/>
      <w:r>
        <w:rPr>
          <w:rtl w:val="0"/>
        </w:rPr>
        <w:t>26/2023/NĐ-CP</w:t>
      </w:r>
      <w:bookmarkEnd w:id="201"/>
      <w:r>
        <w:rPr>
          <w:rtl w:val="0"/>
        </w:rPr>
        <w:t xml:space="preserve"> ngày 31 tháng 5 năm 2023 của Chính phủ về Biểu thuế xuất khẩu, Biểu thuế nhập khẩu ưu đãi, Danh mục hàng hóa và mức thuế tuyệt đối, thuế hỗn hợp và thuế nhập khẩu ngoài hạn ngạch thuế quan bằng quy định tại </w:t>
      </w:r>
      <w:bookmarkStart w:id="202" w:name="bieumau_pl_05"/>
      <w:r>
        <w:rPr>
          <w:rtl w:val="0"/>
        </w:rPr>
        <w:t>Phụ lục V</w:t>
      </w:r>
      <w:bookmarkEnd w:id="202"/>
      <w:r>
        <w:rPr>
          <w:rtl w:val="0"/>
        </w:rPr>
        <w:t xml:space="preserve"> ban hành kèm theo Nghị định này.</w:t>
      </w:r>
    </w:p>
    <w:p>
      <w:pPr>
        <w:bidi w:val="0"/>
        <w:spacing w:before="120" w:beforeAutospacing="0" w:after="280" w:afterAutospacing="1"/>
      </w:pPr>
      <w:bookmarkStart w:id="203" w:name="khoan_3_38"/>
      <w:r>
        <w:rPr>
          <w:rtl w:val="0"/>
        </w:rPr>
        <w:t>3. Bãi bỏ quy định tại:</w:t>
      </w:r>
      <w:bookmarkEnd w:id="203"/>
    </w:p>
    <w:p>
      <w:pPr>
        <w:bidi w:val="0"/>
        <w:spacing w:before="120" w:beforeAutospacing="0" w:after="280" w:afterAutospacing="1"/>
      </w:pPr>
      <w:r>
        <w:rPr>
          <w:rtl w:val="0"/>
        </w:rPr>
        <w:t xml:space="preserve">a) </w:t>
      </w:r>
      <w:bookmarkStart w:id="204" w:name="dc_29"/>
      <w:r>
        <w:rPr>
          <w:rtl w:val="0"/>
        </w:rPr>
        <w:t>Điều 2 Nghị định số 91/2014/NĐ-CP</w:t>
      </w:r>
      <w:bookmarkEnd w:id="204"/>
      <w:r>
        <w:rPr>
          <w:rtl w:val="0"/>
        </w:rPr>
        <w:t xml:space="preserve"> ngày 01 tháng 10 năm 2014 của Chính phủ sửa đổi, bổ sung một số điều tại các Nghị định quy định về thuế.</w:t>
      </w:r>
    </w:p>
    <w:p>
      <w:pPr>
        <w:bidi w:val="0"/>
        <w:spacing w:before="120" w:beforeAutospacing="0" w:after="280" w:afterAutospacing="1"/>
      </w:pPr>
      <w:r>
        <w:rPr>
          <w:rtl w:val="0"/>
        </w:rPr>
        <w:t xml:space="preserve">b) </w:t>
      </w:r>
      <w:bookmarkStart w:id="205" w:name="dc_30"/>
      <w:r>
        <w:rPr>
          <w:rtl w:val="0"/>
        </w:rPr>
        <w:t>Điều 3 Nghị định số 12/2015/NĐ-CP</w:t>
      </w:r>
      <w:bookmarkEnd w:id="205"/>
      <w:r>
        <w:rPr>
          <w:rtl w:val="0"/>
        </w:rPr>
        <w:t xml:space="preserve"> ngày 12 tháng 02 năm 2015 của Chính phủ quy định chi tiết thi hành Luật sửa đổi, bổ sung một số điều của các Luật về thuế và sửa đổi, bổ sung một số điều của các Nghị định về thuế.</w:t>
      </w:r>
    </w:p>
    <w:p>
      <w:pPr>
        <w:bidi w:val="0"/>
        <w:spacing w:before="120" w:beforeAutospacing="0" w:after="280" w:afterAutospacing="1"/>
      </w:pPr>
      <w:r>
        <w:rPr>
          <w:rtl w:val="0"/>
        </w:rPr>
        <w:t xml:space="preserve">c) </w:t>
      </w:r>
      <w:bookmarkStart w:id="206" w:name="dc_31"/>
      <w:r>
        <w:rPr>
          <w:rtl w:val="0"/>
        </w:rPr>
        <w:t>Điều 1 Nghị định số 100/2016/NĐ-CP</w:t>
      </w:r>
      <w:bookmarkEnd w:id="206"/>
      <w:r>
        <w:rPr>
          <w:rtl w:val="0"/>
        </w:rPr>
        <w:t xml:space="preserve"> ngày 01 tháng 7 năm 2016 của Chính phủ quy định chi tiết và hướng dẫn thi hành một số điều của Luật sửa đổi, bổ sung một số điều của </w:t>
      </w:r>
      <w:bookmarkStart w:id="207" w:name="tvpllink_yfeonwnuvk_2"/>
      <w:r>
        <w:rPr>
          <w:rtl w:val="0"/>
        </w:rPr>
        <w:t>Luật Thuế giá trị gia tăng</w:t>
      </w:r>
      <w:bookmarkEnd w:id="207"/>
      <w:r>
        <w:rPr>
          <w:rtl w:val="0"/>
        </w:rPr>
        <w:t xml:space="preserve">, </w:t>
      </w:r>
      <w:bookmarkStart w:id="208" w:name="tvpllink_gyrotfitse"/>
      <w:r>
        <w:rPr>
          <w:rtl w:val="0"/>
        </w:rPr>
        <w:t>Luật Thuế tiêu thụ đặc biệt</w:t>
      </w:r>
      <w:bookmarkEnd w:id="208"/>
      <w:r>
        <w:rPr>
          <w:rtl w:val="0"/>
        </w:rPr>
        <w:t xml:space="preserve"> và </w:t>
      </w:r>
      <w:bookmarkStart w:id="209" w:name="tvpllink_gtkyhfrola"/>
      <w:r>
        <w:rPr>
          <w:rtl w:val="0"/>
        </w:rPr>
        <w:t>Luật Quản lý thuế</w:t>
      </w:r>
      <w:bookmarkEnd w:id="209"/>
      <w:r>
        <w:rPr>
          <w:rtl w:val="0"/>
        </w:rPr>
        <w:t>.</w:t>
      </w:r>
    </w:p>
    <w:p>
      <w:pPr>
        <w:bidi w:val="0"/>
        <w:spacing w:before="120" w:beforeAutospacing="0" w:after="280" w:afterAutospacing="1"/>
      </w:pPr>
      <w:r>
        <w:rPr>
          <w:rtl w:val="0"/>
        </w:rPr>
        <w:t xml:space="preserve">d) </w:t>
      </w:r>
      <w:bookmarkStart w:id="210" w:name="dc_32"/>
      <w:r>
        <w:rPr>
          <w:rtl w:val="0"/>
        </w:rPr>
        <w:t>Điều 1 Nghị định số 146/2017/NĐ-CP</w:t>
      </w:r>
      <w:bookmarkEnd w:id="210"/>
      <w:r>
        <w:rPr>
          <w:rtl w:val="0"/>
        </w:rPr>
        <w:t xml:space="preserve"> ngày 15 tháng 12 năm 2017 của Chính phủ sửa đổi, bổ sung một số điều của Nghị định số </w:t>
      </w:r>
      <w:bookmarkStart w:id="211" w:name="tvpllink_smyhvotubj_1"/>
      <w:r>
        <w:rPr>
          <w:rtl w:val="0"/>
        </w:rPr>
        <w:t>100/2016/NĐ-CP</w:t>
      </w:r>
      <w:bookmarkEnd w:id="211"/>
      <w:r>
        <w:rPr>
          <w:rtl w:val="0"/>
        </w:rPr>
        <w:t xml:space="preserve"> ngày 01 tháng 7 năm 2016 và Nghị định số </w:t>
      </w:r>
      <w:bookmarkStart w:id="212" w:name="tvpllink_anzsxvzevp_1"/>
      <w:r>
        <w:rPr>
          <w:rtl w:val="0"/>
        </w:rPr>
        <w:t>12/2015/NĐ-CP</w:t>
      </w:r>
      <w:bookmarkEnd w:id="212"/>
      <w:r>
        <w:rPr>
          <w:rtl w:val="0"/>
        </w:rPr>
        <w:t xml:space="preserve"> ngày 12 tháng 02 năm 2015 của Chính phủ.</w:t>
      </w:r>
    </w:p>
    <w:p>
      <w:pPr>
        <w:bidi w:val="0"/>
        <w:spacing w:before="120" w:beforeAutospacing="0" w:after="280" w:afterAutospacing="1"/>
      </w:pPr>
      <w:r>
        <w:rPr>
          <w:rtl w:val="0"/>
        </w:rPr>
        <w:t>4. Trường hợp các văn bản quy phạm pháp luật quy định viện dẫn tại Nghị định này được sửa đổi, bổ sung hoặc thay thế thì thực hiện theo văn bản được sửa đổi, bổ sung hoặc thay thế đó.</w:t>
      </w:r>
    </w:p>
    <w:p>
      <w:pPr>
        <w:bidi w:val="0"/>
        <w:spacing w:before="120" w:beforeAutospacing="0" w:after="280" w:afterAutospacing="1"/>
      </w:pPr>
      <w:bookmarkStart w:id="213" w:name="dieu_39"/>
      <w:r>
        <w:rPr>
          <w:b/>
          <w:bCs/>
          <w:rtl w:val="0"/>
        </w:rPr>
        <w:t>Điều 39. Điều khoản chuyển tiếp</w:t>
      </w:r>
      <w:bookmarkEnd w:id="213"/>
    </w:p>
    <w:p>
      <w:pPr>
        <w:bidi w:val="0"/>
        <w:spacing w:before="120" w:beforeAutospacing="0" w:after="280" w:afterAutospacing="1"/>
      </w:pPr>
      <w:r>
        <w:rPr>
          <w:rtl w:val="0"/>
        </w:rPr>
        <w:t xml:space="preserve">1. Đối với dự án đầu tư đã được đầu tư trước ngày 01 tháng 7 năm 2025 mà vẫn đang trong giai đoạn đầu tư kể từ ngày Nghị định này có hiệu lực thi hành thì được áp dụng quy định hoàn thuế đối với đầu tư tại </w:t>
      </w:r>
      <w:bookmarkStart w:id="214" w:name="tc_18"/>
      <w:r>
        <w:rPr>
          <w:rtl w:val="0"/>
        </w:rPr>
        <w:t>Điều 30 Nghị định này</w:t>
      </w:r>
      <w:bookmarkEnd w:id="214"/>
      <w:r>
        <w:rPr>
          <w:rtl w:val="0"/>
        </w:rPr>
        <w:t>.</w:t>
      </w:r>
    </w:p>
    <w:p>
      <w:pPr>
        <w:bidi w:val="0"/>
        <w:spacing w:before="120" w:beforeAutospacing="0" w:after="280" w:afterAutospacing="1"/>
      </w:pPr>
      <w:r>
        <w:rPr>
          <w:rtl w:val="0"/>
        </w:rPr>
        <w:t xml:space="preserve">2. Quy định về hoàn thuế giá trị gia tăng đối với hoạt động sản xuất hàng hóa, cung cấp dịch vụ chịu thuế suất thuế giá trị gia tăng 5% quy định tại </w:t>
      </w:r>
      <w:bookmarkStart w:id="215" w:name="tc_19"/>
      <w:r>
        <w:rPr>
          <w:rtl w:val="0"/>
        </w:rPr>
        <w:t>Điều 31 Nghị định này</w:t>
      </w:r>
      <w:bookmarkEnd w:id="215"/>
      <w:r>
        <w:rPr>
          <w:rtl w:val="0"/>
        </w:rPr>
        <w:t xml:space="preserve"> áp dụng đối với số thuế giá trị gia tăng đầu vào chưa được khấu trừ hết sử dụng cho sản xuất hàng hóa, cung cấp dịch vụ chịu thuế suất thuế giá trị gia tăng 5% phát sinh kể từ ngày Nghị định này có hiệu lực thi hành.</w:t>
      </w:r>
    </w:p>
    <w:p>
      <w:pPr>
        <w:bidi w:val="0"/>
        <w:spacing w:before="120" w:beforeAutospacing="0" w:after="280" w:afterAutospacing="1"/>
      </w:pPr>
      <w:bookmarkStart w:id="216" w:name="khoan_3_39"/>
      <w:r>
        <w:rPr>
          <w:rtl w:val="0"/>
        </w:rPr>
        <w:t>3. Quy định tại</w:t>
      </w:r>
      <w:bookmarkEnd w:id="216"/>
      <w:r>
        <w:rPr>
          <w:rtl w:val="0"/>
        </w:rPr>
        <w:t xml:space="preserve"> </w:t>
      </w:r>
      <w:bookmarkStart w:id="217" w:name="tc_20"/>
      <w:r>
        <w:rPr>
          <w:rtl w:val="0"/>
        </w:rPr>
        <w:t>khoản 3 Điều 37 Nghị định này</w:t>
      </w:r>
      <w:bookmarkEnd w:id="217"/>
      <w:r>
        <w:rPr>
          <w:rtl w:val="0"/>
        </w:rPr>
        <w:t xml:space="preserve"> </w:t>
      </w:r>
      <w:bookmarkStart w:id="218" w:name="khoan_3_39_name"/>
      <w:r>
        <w:rPr>
          <w:rtl w:val="0"/>
        </w:rPr>
        <w:t>áp dụng cho kỳ tính thuế từ tháng 7 năm 2025 hoặc quý 3 năm 2025.</w:t>
      </w:r>
      <w:bookmarkEnd w:id="218"/>
    </w:p>
    <w:p>
      <w:pPr>
        <w:bidi w:val="0"/>
        <w:spacing w:before="120" w:beforeAutospacing="0" w:after="280" w:afterAutospacing="1"/>
      </w:pPr>
      <w:bookmarkStart w:id="219" w:name="dieu_40"/>
      <w:r>
        <w:rPr>
          <w:b/>
          <w:bCs/>
          <w:rtl w:val="0"/>
        </w:rPr>
        <w:t>Điều 40. Trách nhiệm thi hành</w:t>
      </w:r>
      <w:bookmarkEnd w:id="219"/>
    </w:p>
    <w:p>
      <w:pPr>
        <w:bidi w:val="0"/>
        <w:spacing w:before="120" w:beforeAutospacing="0" w:after="280" w:afterAutospacing="1"/>
      </w:pPr>
      <w:bookmarkStart w:id="220" w:name="khoan_1_40"/>
      <w:r>
        <w:rPr>
          <w:rtl w:val="0"/>
        </w:rPr>
        <w:t>1. Bộ Tài chính quy định chi tiết các điều, khoản được giao tại Nghị định và hướng dẫn thực hiện Nghị định này theo chức năng, nhiệm vụ đảm bảo yêu cầu quản lý.</w:t>
      </w:r>
      <w:bookmarkEnd w:id="220"/>
    </w:p>
    <w:p>
      <w:pPr>
        <w:bidi w:val="0"/>
        <w:spacing w:before="120" w:beforeAutospacing="0" w:after="280" w:afterAutospacing="1"/>
      </w:pPr>
      <w:bookmarkStart w:id="221" w:name="khoan_2_40"/>
      <w:r>
        <w:rPr>
          <w:rtl w:val="0"/>
        </w:rPr>
        <w:t>2. Bộ Tài chính quy định cụ thể đối với hàng hóa, dịch vụ không thuộc phạm vi điều chỉnh của Nghị định này và</w:t>
      </w:r>
      <w:bookmarkEnd w:id="221"/>
      <w:r>
        <w:rPr>
          <w:rtl w:val="0"/>
        </w:rPr>
        <w:t xml:space="preserve"> </w:t>
      </w:r>
      <w:bookmarkStart w:id="222" w:name="tvpllink_cfonnkiqjn_2"/>
      <w:r>
        <w:rPr>
          <w:rtl w:val="0"/>
        </w:rPr>
        <w:t>Luật Thuế giá trị gia tăng</w:t>
      </w:r>
      <w:bookmarkEnd w:id="222"/>
      <w:r>
        <w:rPr>
          <w:rtl w:val="0"/>
        </w:rPr>
        <w:t>.</w:t>
      </w:r>
    </w:p>
    <w:p>
      <w:pPr>
        <w:bidi w:val="0"/>
        <w:spacing w:before="120" w:beforeAutospacing="0" w:after="280" w:afterAutospacing="1"/>
      </w:pPr>
      <w:r>
        <w:rPr>
          <w:rtl w:val="0"/>
        </w:rPr>
        <w:t>3. Các Bộ trưởng, Thủ trưởng cơ quan ngang bộ, Thủ trưởng cơ quan thuộc Chính phủ, Chủ tịch Ủy ban nhân dân tỉnh, thành phố trực thuộc trung ương và các cơ quan, tổ chức, cá nhân liên quan chịu trách nhiệm thi hành Nghị định này.</w:t>
      </w:r>
    </w:p>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471"/>
        <w:gridCol w:w="4169"/>
      </w:tblGrid>
      <w:tr>
        <w:tblPrEx>
          <w:tblW w:w="5000" w:type="pct"/>
          <w:jc w:val="left"/>
          <w:tblCellMar>
            <w:top w:w="0" w:type="dxa"/>
            <w:left w:w="0" w:type="dxa"/>
            <w:bottom w:w="0" w:type="dxa"/>
            <w:right w:w="0" w:type="dxa"/>
          </w:tblCellMar>
        </w:tblPrEx>
        <w:trPr>
          <w:jc w:val="left"/>
        </w:trPr>
        <w:tc>
          <w:tcPr>
            <w:tcW w:w="4608" w:type="dxa"/>
            <w:shd w:val="clear" w:color="auto" w:fill="auto"/>
            <w:tcMar>
              <w:top w:w="0" w:type="dxa"/>
              <w:left w:w="108" w:type="dxa"/>
              <w:bottom w:w="0" w:type="dxa"/>
              <w:right w:w="108" w:type="dxa"/>
            </w:tcMar>
          </w:tcPr>
          <w:p>
            <w:pPr>
              <w:bidi w:val="0"/>
              <w:spacing w:before="120" w:beforeAutospacing="0" w:after="0" w:afterAutospacing="0"/>
            </w:pPr>
            <w:r>
              <w:rPr>
                <w:b/>
                <w:bCs/>
                <w:i/>
                <w:iCs/>
                <w:rtl w:val="0"/>
              </w:rPr>
              <w:br/>
            </w:r>
            <w:r>
              <w:rPr>
                <w:b/>
                <w:bCs/>
                <w:i/>
                <w:iCs/>
                <w:rtl w:val="0"/>
              </w:rPr>
              <w:t>Nơi nhận:</w:t>
            </w:r>
            <w:r>
              <w:rPr>
                <w:b/>
                <w:bCs/>
                <w:i/>
                <w:iCs/>
                <w:rtl w:val="0"/>
              </w:rPr>
              <w:br/>
            </w:r>
            <w:r>
              <w:rPr>
                <w:sz w:val="16"/>
                <w:rtl w:val="0"/>
              </w:rPr>
              <w:t>- Ban Bí thư Trung ương Đảng;</w:t>
            </w:r>
            <w:r>
              <w:rPr>
                <w:sz w:val="16"/>
                <w:rtl w:val="0"/>
              </w:rPr>
              <w:br/>
            </w:r>
            <w:r>
              <w:rPr>
                <w:sz w:val="16"/>
                <w:rtl w:val="0"/>
              </w:rPr>
              <w:t>- Thủ tướng, các Phó Thủ tướng Chính phủ;</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trung</w:t>
            </w:r>
            <w:r>
              <w:rPr>
                <w:sz w:val="16"/>
                <w:rtl w:val="0"/>
              </w:rPr>
              <w:br/>
            </w:r>
            <w:r>
              <w:rPr>
                <w:sz w:val="16"/>
                <w:rtl w:val="0"/>
              </w:rPr>
              <w:t>- Văn phòng Trung ương và các Ban của Đảng;</w:t>
            </w:r>
            <w:r>
              <w:rPr>
                <w:sz w:val="16"/>
                <w:rtl w:val="0"/>
              </w:rPr>
              <w:br/>
            </w:r>
            <w:r>
              <w:rPr>
                <w:sz w:val="16"/>
                <w:rtl w:val="0"/>
              </w:rPr>
              <w:t>- Văn phòng Tổng Bí thư;</w:t>
            </w:r>
            <w:r>
              <w:rPr>
                <w:sz w:val="16"/>
                <w:rtl w:val="0"/>
              </w:rPr>
              <w:br/>
            </w:r>
            <w:r>
              <w:rPr>
                <w:sz w:val="16"/>
                <w:rtl w:val="0"/>
              </w:rPr>
              <w:t>- Văn phòng Chủ tịch nước;</w:t>
            </w:r>
            <w:r>
              <w:rPr>
                <w:sz w:val="16"/>
                <w:rtl w:val="0"/>
              </w:rPr>
              <w:br/>
            </w:r>
            <w:r>
              <w:rPr>
                <w:sz w:val="16"/>
                <w:rtl w:val="0"/>
              </w:rPr>
              <w:t>- Hội đồng Dân tộc và các Ủy ban của Quốc hội;</w:t>
            </w:r>
            <w:r>
              <w:rPr>
                <w:sz w:val="16"/>
                <w:rtl w:val="0"/>
              </w:rPr>
              <w:br/>
            </w:r>
            <w:r>
              <w:rPr>
                <w:sz w:val="16"/>
                <w:rtl w:val="0"/>
              </w:rPr>
              <w:t>- Văn phòng Quốc hội;</w:t>
            </w:r>
            <w:r>
              <w:rPr>
                <w:sz w:val="16"/>
                <w:rtl w:val="0"/>
              </w:rPr>
              <w:br/>
            </w:r>
            <w:r>
              <w:rPr>
                <w:sz w:val="16"/>
                <w:rtl w:val="0"/>
              </w:rPr>
              <w:t>- Tòa án nhân dân tối cao;</w:t>
            </w:r>
            <w:r>
              <w:rPr>
                <w:sz w:val="16"/>
                <w:rtl w:val="0"/>
              </w:rPr>
              <w:br/>
            </w:r>
            <w:r>
              <w:rPr>
                <w:sz w:val="16"/>
                <w:rtl w:val="0"/>
              </w:rPr>
              <w:t>- Viện kiểm sát nhân dân tối cao;</w:t>
            </w:r>
            <w:r>
              <w:rPr>
                <w:sz w:val="16"/>
                <w:rtl w:val="0"/>
              </w:rPr>
              <w:br/>
            </w:r>
            <w:r>
              <w:rPr>
                <w:sz w:val="16"/>
                <w:rtl w:val="0"/>
              </w:rPr>
              <w:t>- Kiểm toán nhà nước;</w:t>
            </w:r>
            <w:r>
              <w:rPr>
                <w:sz w:val="16"/>
                <w:rtl w:val="0"/>
              </w:rPr>
              <w:br/>
            </w:r>
            <w:r>
              <w:rPr>
                <w:sz w:val="16"/>
                <w:rtl w:val="0"/>
              </w:rPr>
              <w:t>- Ủy ban Trung ương Mặt trận Tổ quốc Việt Nam;</w:t>
            </w:r>
            <w:r>
              <w:rPr>
                <w:sz w:val="16"/>
                <w:rtl w:val="0"/>
              </w:rPr>
              <w:br/>
            </w:r>
            <w:r>
              <w:rPr>
                <w:sz w:val="16"/>
                <w:rtl w:val="0"/>
              </w:rPr>
              <w:t>- Cơ quan trung ương của các đoàn thể;</w:t>
            </w:r>
            <w:r>
              <w:rPr>
                <w:sz w:val="16"/>
                <w:rtl w:val="0"/>
              </w:rPr>
              <w:br/>
            </w:r>
            <w:r>
              <w:rPr>
                <w:sz w:val="16"/>
                <w:rtl w:val="0"/>
              </w:rPr>
              <w:t>- VPCP: BTCN, các PCN, Trợ lý TTg, TGĐ Cổng TTĐT,</w:t>
            </w:r>
            <w:r>
              <w:rPr>
                <w:sz w:val="16"/>
                <w:rtl w:val="0"/>
              </w:rPr>
              <w:br/>
            </w:r>
            <w:r>
              <w:rPr>
                <w:sz w:val="16"/>
                <w:rtl w:val="0"/>
              </w:rPr>
              <w:t>các Vụ, Cục, đơn vị trực thuộc, Công báo;</w:t>
            </w:r>
            <w:r>
              <w:rPr>
                <w:sz w:val="16"/>
                <w:rtl w:val="0"/>
              </w:rPr>
              <w:br/>
            </w:r>
            <w:r>
              <w:rPr>
                <w:sz w:val="16"/>
                <w:rtl w:val="0"/>
              </w:rPr>
              <w:t>- Lưu: VT, KTTH (2b).</w:t>
            </w:r>
          </w:p>
        </w:tc>
        <w:tc>
          <w:tcPr>
            <w:tcW w:w="4248" w:type="dxa"/>
            <w:shd w:val="clear" w:color="auto" w:fill="auto"/>
            <w:tcMar>
              <w:top w:w="0" w:type="dxa"/>
              <w:left w:w="108" w:type="dxa"/>
              <w:bottom w:w="0" w:type="dxa"/>
              <w:right w:w="108" w:type="dxa"/>
            </w:tcMar>
          </w:tcPr>
          <w:p>
            <w:pPr>
              <w:bidi w:val="0"/>
              <w:spacing w:before="120" w:beforeAutospacing="0" w:after="0" w:afterAutospacing="0"/>
              <w:jc w:val="center"/>
            </w:pPr>
            <w:r>
              <w:rPr>
                <w:b/>
                <w:bCs/>
                <w:rtl w:val="0"/>
              </w:rPr>
              <w:t>TM. CHÍNH PHỦ</w:t>
            </w:r>
            <w:r>
              <w:rPr>
                <w:b/>
                <w:bCs/>
                <w:rtl w:val="0"/>
              </w:rPr>
              <w:br/>
            </w:r>
            <w:r>
              <w:rPr>
                <w:b/>
                <w:bCs/>
                <w:rtl w:val="0"/>
              </w:rPr>
              <w:t>KT. THỦ TƯỚNG</w:t>
            </w:r>
            <w:r>
              <w:rPr>
                <w:b/>
                <w:bCs/>
                <w:rtl w:val="0"/>
              </w:rPr>
              <w:br/>
            </w:r>
            <w:r>
              <w:rPr>
                <w:b/>
                <w:bCs/>
                <w:rtl w:val="0"/>
              </w:rPr>
              <w:t>PHÓ THỦ TƯỚNG</w:t>
            </w:r>
            <w:r>
              <w:rPr>
                <w:b/>
                <w:bCs/>
                <w:rtl w:val="0"/>
              </w:rPr>
              <w:br/>
            </w:r>
            <w:r>
              <w:rPr>
                <w:b/>
                <w:bCs/>
                <w:rtl w:val="0"/>
              </w:rPr>
              <w:br/>
            </w:r>
            <w:r>
              <w:rPr>
                <w:b/>
                <w:bCs/>
                <w:rtl w:val="0"/>
              </w:rPr>
              <w:br/>
            </w:r>
            <w:r>
              <w:rPr>
                <w:b/>
                <w:bCs/>
                <w:rtl w:val="0"/>
              </w:rPr>
              <w:br/>
            </w:r>
            <w:r>
              <w:rPr>
                <w:b/>
                <w:bCs/>
                <w:rtl w:val="0"/>
              </w:rPr>
              <w:br/>
            </w:r>
            <w:r>
              <w:rPr>
                <w:b/>
                <w:bCs/>
                <w:rtl w:val="0"/>
              </w:rPr>
              <w:t>Hồ Đức Phớc</w:t>
            </w:r>
          </w:p>
        </w:tc>
      </w:tr>
    </w:tbl>
    <w:p>
      <w:pPr>
        <w:bidi w:val="0"/>
        <w:spacing w:before="120" w:beforeAutospacing="0" w:after="280" w:afterAutospacing="1"/>
      </w:pPr>
      <w:r>
        <w:rPr>
          <w:rtl w:val="0"/>
        </w:rPr>
        <w:t> </w:t>
      </w:r>
    </w:p>
    <w:p>
      <w:pPr>
        <w:bidi w:val="0"/>
        <w:spacing w:before="120" w:beforeAutospacing="0" w:after="280" w:afterAutospacing="1"/>
      </w:pPr>
      <w:bookmarkStart w:id="223" w:name="chuong_pl_1"/>
      <w:r>
        <w:rPr>
          <w:rFonts w:ascii="Arial" w:eastAsia="Arial" w:hAnsi="Arial" w:cs="Arial"/>
          <w:sz w:val="24"/>
          <w:rtl w:val="0"/>
        </w:rPr>
        <w:t>PHỤ LỤC I</w:t>
      </w:r>
      <w:bookmarkEnd w:id="223"/>
    </w:p>
    <w:p>
      <w:pPr>
        <w:bidi w:val="0"/>
        <w:spacing w:before="120" w:beforeAutospacing="0" w:after="0" w:afterAutospacing="0"/>
        <w:ind w:left="0" w:right="0"/>
        <w:jc w:val="center"/>
      </w:pPr>
      <w:bookmarkStart w:id="224" w:name="chuong_pl_1_name"/>
      <w:r>
        <w:rPr>
          <w:rFonts w:ascii="Arial" w:eastAsia="Arial" w:hAnsi="Arial" w:cs="Arial"/>
          <w:i w:val="0"/>
          <w:sz w:val="20"/>
          <w:rtl w:val="0"/>
        </w:rPr>
        <w:t>TÀI NGUYÊN, KHOÁNG SẢN KHAI THÁC CHƯA CHẾ BIẾN THÀNH SẢN PHẨM KHÁC</w:t>
      </w:r>
      <w:bookmarkEnd w:id="224"/>
      <w:r>
        <w:rPr>
          <w:rFonts w:ascii="Arial" w:eastAsia="Arial" w:hAnsi="Arial" w:cs="Arial"/>
          <w:i w:val="0"/>
          <w:sz w:val="20"/>
          <w:rtl w:val="0"/>
        </w:rPr>
        <w:br/>
      </w:r>
      <w:r>
        <w:rPr>
          <w:rFonts w:ascii="Arial" w:eastAsia="Arial" w:hAnsi="Arial" w:cs="Arial"/>
          <w:sz w:val="20"/>
          <w:rtl w:val="0"/>
        </w:rPr>
        <w:t>(Kèm theo Nghị định số 181/2025/NĐ-CP ngày 01 tháng 7 năm 2025 của Chính phủ)</w:t>
      </w:r>
    </w:p>
    <w:tbl>
      <w:tblPr>
        <w:tblW w:w="5000" w:type="pct"/>
        <w:jc w:val="left"/>
        <w:tblCellMar>
          <w:top w:w="0" w:type="dxa"/>
          <w:left w:w="0" w:type="dxa"/>
          <w:bottom w:w="0" w:type="dxa"/>
          <w:right w:w="0" w:type="dxa"/>
        </w:tblCellMar>
      </w:tblPr>
      <w:tblGrid>
        <w:gridCol w:w="1624"/>
        <w:gridCol w:w="7016"/>
      </w:tblGrid>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Mã hàng</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Mô tả hàng hoá</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25</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Muối; lưu huỳnh; đất và đá; thạch cao, vôi và xi măng</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2502.00.00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Pirit sắt chưa nung.</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2503.00.00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Lưu huỳnh các loại, trừ lưu huỳnh thăng hoa, lưu huỳnh kết tủa và lưu huỳnh dạng keo.</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25.04</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Graphit tự nhiên.</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2504.10.00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Ở dạng bột hoặc dạng mảnh</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2504.90.00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25.05</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loại cát tự nhiên, đã hoặc chưa nhuộm màu, trừ cát chứa kim loại thuộc Chương 26.</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2505.10.00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Cát oxit silic và cát thạch anh:</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2505.10.00.10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Bột oxit silic mịn và siêu mịn có kích thước hạt từ 96µm (micrô mét) trở xuống, hàm lượng SiO2 ≥97,7%, Fe2O3 ≤ 0,030%, độ ẩm ≤0,3%</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2505.10.00.20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Bột oxit silic mịn có kích thước hạt từ 500 µm (micromet) trở xuống, hàm lượng SiO2 ≥ 99,3%; Fe2O3 ≤ 0,01%, độ ẩm ≤ 5%</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2505.10.00.90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2505.90.00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25.06</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Thạch anh (trừ cát tự nhiên); quartzite, đã hoặc chưa đẽo thô hoặc mới chỉ được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2506.10.00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Thạch anh</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2506.20.00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Quartzite</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2507.00.00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Cao lanh và đất sét cao lanh khác, đã hoặc chưa nung.</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25.08</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Đất sét khác (không kể đất sét trương nở thuộc nhóm 68.06), andalusite, kyanite và sillimanite, đã hoặc chưa nung; mullite; đất chịu lửa (chamotte) hoặc đất dinas.</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2508.10.00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Bentonite</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2508.30.00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Đất sét chịu lửa</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2508.40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Đất sét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2508.40.10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Đất hồ (đất tẩy màu)</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2508.40.90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2508.50.00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Andalusite, kyanite và sillimanite</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2508.60.00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Mullite</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2508.70.00</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Đất chịu lửa hoặc đất dinas</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60"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40"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2509.00.00</w:t>
            </w:r>
          </w:p>
        </w:tc>
        <w:tc>
          <w:tcPr>
            <w:tcW w:w="4060"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Đá phấn.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Canxi phosphat tự nhiên, canxi phosphat nhôm tự nhiên và đá phấn có chứa phosphat.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Chưa nghiền: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Apatít (apatite)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Đã nghiền: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2510.20.10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Apatít (apatite):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2510.20.10.10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hạt mịn có kích thước nhỏ hơn hoặc bằng 0,25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2510.20.10.20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hạt có kích thước trên 0,25 mm đến 15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2510.20.10.90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2510.20.90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Bari sulphat tự nhiên (barytes); bari carbonat tự nhiên (witherite), đã hoặc chưa nung, trừ bari oxit thuộc nhóm 28.16.</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2511.10.00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Bari sulphat tự nhiên (barytes)</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2511.20.00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Bari carbonat tự nhiên (witherite)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2512.00.00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Bột hóa thạch silic (ví dụ, đất tảo cát, tripolite và diatomite) và đất silic tương tự, đã hoặc chưa nung, có trọng lượng riêng biểu kiến không quá 1.</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25.13</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bọt; đá nhám; corundum tự nhiên, đá garnet tự nhiên và đá mài tự nhiên khác, đã hoặc chưa qua xử lý nhiệt.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2513.10.00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bọt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2513.20.00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nhám, corundum tự nhiên, đá garnet tự nhiên và đá mài tự nhiên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2514.00.00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Đá phiến, đã hoặc chưa đẽo thô hoặc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hoa (marble), đá travertine, ecaussine và đá vôi khác để làm tượng đài hoặc đá xây dựng có trọng lượng riêng biểu kiến từ 2,5 trở lên, và thạch cao tuyết hoa, đã hoặc chưa đẽo thô hoặc mới chỉ cắt, bằng cưa hay bằng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Đá hoa (marble) và đá travertine: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Thô hoặc đã đẽo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2515.12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Mới chỉ cắt, bằng cưa hoặc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2515.12.10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 Dạng khối: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2515.12.10.10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 </w:t>
            </w:r>
            <w:r>
              <w:rPr>
                <w:rFonts w:ascii="Arial" w:eastAsia="Arial" w:hAnsi="Arial" w:cs="Arial"/>
                <w:sz w:val="20"/>
                <w:rtl w:val="0"/>
              </w:rPr>
              <w:t>Đá hoa trắng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2515.12.10.90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 </w:t>
            </w:r>
            <w:r>
              <w:rPr>
                <w:rFonts w:ascii="Arial" w:eastAsia="Arial" w:hAnsi="Arial" w:cs="Arial"/>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2515.12.20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Dạng tấm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2515.20.00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Ecaussine và đá vôi khác để làm tượng đài hoặc đá xây dựng; thạch cao tuyết hoa: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2515.20.00.10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Đá vôi trắng dạng khối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2515.20.00.90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granit, đá pocfia, bazan, đá cát kết (sa thạch) và đá khác để làm tượng đài hay đá xây dựng, đã hoặc chưa đẽo thô hay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Granit: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Thô hoặc đã đẽo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2516.12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Mới chỉ cắt, bằng cưa hoặc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2516.12.10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Dạng khối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2516.12.20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Dạng tấm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2516.20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Đá cát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Thô hoặc đã đẽo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2516.20.20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Mới chỉ cắt, bằng cưa hoặc cách khác, thành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2516.90.00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khác để làm tượng đài hoặc làm đá xây dựng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25.17</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cuội, sỏi, đá đã vỡ hoặc nghiền, chủ yếu để làm cốt bê tông, để rải đường bộ hay đường sắt hoặc đá ballast, đá cuội nhỏ và đá lửa tự nhiên (flint) khác, đã hoặc chưa qua xử lý nhiệt; đá dăm từ xỉ, từ xỉ luyện kim hoặc từ phế thải công nghiệp tương tự, có hoặc không kết hợp với các vật liệu trong phần đầu của nhóm này; đá dăm trộn nhựa đường, đá ở</w:t>
            </w:r>
            <w:r>
              <w:rPr>
                <w:rFonts w:ascii="Arial" w:eastAsia="Arial" w:hAnsi="Arial" w:cs="Arial"/>
                <w:sz w:val="20"/>
                <w:rtl w:val="0"/>
              </w:rPr>
              <w:t xml:space="preserve"> </w:t>
            </w:r>
            <w:r>
              <w:rPr>
                <w:rFonts w:ascii="Arial" w:eastAsia="Arial" w:hAnsi="Arial" w:cs="Arial"/>
                <w:b/>
                <w:bCs/>
                <w:i w:val="0"/>
                <w:sz w:val="20"/>
                <w:rtl w:val="0"/>
              </w:rPr>
              <w:t>dạng viên, mảnh và bột, làm từ các loại đá thuộc nhóm 25.15 hoặc 25.16, đã hoặc chưa qua xử lý nhiệt.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2517.10.00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Đá cuội, sỏi, đá đã vỡ hoặc nghiền, chủ yếu để làm cốt bê tông, để rải đường bộ hay đường sắt hoặc đá ballast khác, đá cuội nhỏ và đá lửa tự nhiên (flint) khác, đã hoặc chưa qua xử lý nhiệt: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có kích cỡ đến 400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dăm từ xỉ, từ xỉ luyện kim hoặc từ phế thải công nghiệp tương tự, có hoặc không kết hợp với các vật liệu của phân nhóm 2517.10</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dăm trộn nhựa đường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Đá ở dạng viên, mảnh và bột, làm từ các loại đá thuộc nhóm 25.15 hoặc 25.16, đã hoặc chưa qua xử lý nhiệt: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2517.41.00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Từ đá hoa (marble):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2517.41.00.20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Bột cacbonat canxi được sản xuất từ loại đá thuộc nhóm 25.15, có kích thước hạt trên 0,125 mm đến dưới 1mm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2517.41.00.30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Loại có kích cỡ đến 400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2517.41.00.90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2517.49.00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2517.49.00.20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Bột cacbonat canxi được sản xuất từ loại đá thuộc nhóm 25.15, có kích thước hạt trên 0,125 mm đến dưới 1mm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2517.49.00.30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Loại có kích cỡ đến 400 mm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2517.49.00.90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xml:space="preserve">- - - </w:t>
            </w:r>
            <w:r>
              <w:rPr>
                <w:rFonts w:ascii="Arial" w:eastAsia="Arial" w:hAnsi="Arial" w:cs="Arial"/>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25.18</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Dolomite, đã hoặc chưa nung hoặc thiêu kết, kể cả dolomite đã đẽo thô hay mới chỉ cắt bằng cưa hoặc các cách khác, thành các khối hoặc tấm hình chữ nhật (kể cả hình vuông).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2518.10.00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Dolomite, chưa nung hoặc thiêu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2518.20.00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Dolomite đã nung hoặc thiêu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25.19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Magiê carbonat tự nhiên (magiesite); magiê ôxít nấu chảy; magiê ôxít nung trơ (thiêu kết), có hoặc không thêm một lượng nhỏ ôxít khác trước khi thiêu kết; magiê ôxít khác, tinh khiết hoặc không tinh khiết.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2519.10.00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Magiê carbonat tự nhiên (magnesite)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2519.90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2519.90.10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Magiê ôxit nấu chảy; magiê ôxit nung trơ (thiêu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2519.90.90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Thạch cao; thạch cao khan; thạch cao plaster (bao gồm thạch cao nung hoặc canxi sulphat đã nung), đã hoặc chưa nhuộm màu, có hoặc không thêm một lượng nhỏ chất xúc tác hoặc chất ức chế.</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2520.10.00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Thạch cao; thạch cao khan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2520.20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Thạch cao plaster:</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2520.20.10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phù hợp dùng trong nha khoa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2520.20.90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2521.00.00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Chất gây chảy gốc đá vôi; đá vôi và đá có chứa canxi khác, dùng để sản xuất vôi hoặc xi măng.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Vôi sống, vôi tôi và vôi thủy lực, trừ oxit canxi và hydroxit canxi thuộc nhóm 28.25.</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2522.10.00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Vôi sống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2522.20.00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Vôi tôi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2522.30.00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Vôi thủy lực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Amiăng.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2524.10.00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Crocidolite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2524.90.00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Mi ca, kể cả mi ca tách lớp; phế liệu mi ca.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2525.10.00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Mi ca thô và mi ca đã tách thành tấm hoặc lớp</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2525.20.00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mi ca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2525.30.00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mi ca</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steatit tự nhiên, đã hoặc chưa đẽo thô hoặc mới chỉ cắt, bằng cưa hoặc các cách khác, thành các khối hoặc tấm hình chữ nhật (kể cả hình vuông); talc.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2526.10.00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Chưa nghiền, chưa làm thành bột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2526.20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Đã nghiền hoặc làm thành bột: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2526.20.10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Bột talc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2526.20.90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2528.00.00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borat tự nhiên và tinh quặng borat (đã hoặc chưa nung), nhưng không kể borat tách từ nước biển tự nhiên; axit boric tự nhiên chứa không quá 85% H</w:t>
            </w:r>
            <w:r>
              <w:rPr>
                <w:rFonts w:ascii="Arial" w:eastAsia="Arial" w:hAnsi="Arial" w:cs="Arial"/>
                <w:b/>
                <w:bCs/>
                <w:sz w:val="20"/>
                <w:vertAlign w:val="subscript"/>
                <w:rtl w:val="0"/>
              </w:rPr>
              <w:t>3</w:t>
            </w:r>
            <w:r>
              <w:rPr>
                <w:rFonts w:ascii="Arial" w:eastAsia="Arial" w:hAnsi="Arial" w:cs="Arial"/>
                <w:b/>
                <w:bCs/>
                <w:sz w:val="20"/>
                <w:rtl w:val="0"/>
              </w:rPr>
              <w:t>BO</w:t>
            </w:r>
            <w:r>
              <w:rPr>
                <w:rFonts w:ascii="Arial" w:eastAsia="Arial" w:hAnsi="Arial" w:cs="Arial"/>
                <w:b/>
                <w:bCs/>
                <w:sz w:val="20"/>
                <w:vertAlign w:val="subscript"/>
                <w:rtl w:val="0"/>
              </w:rPr>
              <w:t>3</w:t>
            </w:r>
            <w:r>
              <w:rPr>
                <w:rFonts w:ascii="Arial" w:eastAsia="Arial" w:hAnsi="Arial" w:cs="Arial"/>
                <w:b/>
                <w:bCs/>
                <w:sz w:val="20"/>
                <w:rtl w:val="0"/>
              </w:rPr>
              <w:t xml:space="preserve"> tính theo trọng lượng khô.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25.29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Tràng thạch (đá bồ tát); lơxit (leucite), nephelin và nephelin xienit; khoáng fluorite.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2529.10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Tràng thạch (đá bồ tát):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Potash tràng thạch; soda tràng thạch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Khoáng fluorite: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2529.21.00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Có chứa canxi florua không quá 97% tính theo khối lượng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2529.22.00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Có chứa canxi florua trên 97%) tính theo khối lượng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2529.30.00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Lơxit; nephelin và nephelin xienit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25.30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chất khoáng chưa được chi tiết hoặc ghi ở nơi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Vermiculite, đá trân châu và clorit, chưa giãn nở</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2530.20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Kiezerit, epsomit (magiê sulphat tự nhiên):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2530.20.10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Kiezerit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2530.20.20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Epsomite (magiê sulphat tự nhiên)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2530.90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Cát zircon cỡ hạt micron (zircon silicat) loại dùng làm chất cản quang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2530.90.90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2530.90.90.10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Quặng đất hiếm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2530.90.90.90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26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xỉ và tro</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sắt và tinh quặng sắt, kể cả pirit sắt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sắt và tinh quặng sắt, trừ pirit sắt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2601.11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Chưa nung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2601.11.10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Hematite và tinh quặng hematite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2601.11.90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 - - </w:t>
            </w:r>
            <w:r>
              <w:rPr>
                <w:rFonts w:ascii="Arial" w:eastAsia="Arial" w:hAnsi="Arial" w:cs="Arial"/>
                <w:i w:val="0"/>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2601.11.90.10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Tinh quặng sắt hàm lượng cao (Fe ≥ 68%; SiO2 ≤ 3,6%; Al2O3 ≤ 0,3%; TiO2 ≤ 0,002%; P ≤ 0,001%; CaO ≤ 0,02%; MgO ≤ 0,4%; K2O ≤ 0,01%; Na2O ≤ 0,030%; Cu ≤ 0,002%; Zn ≤ 0,004%; Mn ≤ 0,2%; MKN ≤ 0, 01%; S ≤ 0,01%)</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2601.11.90.90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2601.12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Đã nung kết: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2601.12.10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Hematite và tinh quặng hematite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2601.12.90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 - - </w:t>
            </w:r>
            <w:r>
              <w:rPr>
                <w:rFonts w:ascii="Arial" w:eastAsia="Arial" w:hAnsi="Arial" w:cs="Arial"/>
                <w:i w:val="0"/>
                <w:sz w:val="20"/>
                <w:rtl w:val="0"/>
              </w:rPr>
              <w:t>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2601.12.90.10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Tinh quặng sắt hàm lượng cao (Fe ≥ 68%; SiO2 ≤ 3,6%; Al2O3 ≤ 0,3%; TiO2 ≤ 0,002%; P ≤ 0,001%; CaO ≤ 0,02%; MgO ≤ 0,4%; K2O ≤ 0,01%; Na2O ≤ 0,030%; Cu ≤ 0,002%; Zn ≤ 0,004%; Mn ≤ 0,2%; MKN ≤ 0, 01%; S ≤ 0,01%)</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2601.12.90.90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2601.20.00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Pirit sắt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2602.00.00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mangan và tinh quặng mangan, kể cả quặng mangan chứa sắt và tinh quặng mangan chứa sắt với hàm lượng mangan từ 20% trở lên, tính theo trọng lượng khô.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2603.00.00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đồng và tinh quặng đồng.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niken và tinh quặng niken.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2604.00.00.10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2604.00.00.90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coban và tinh quặng coban.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2605.00.00.10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2605.00.00.90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nhôm và tinh quặng nhôm.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2606.00.00.10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2606.00.00.90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2607.00.00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chì và tinh quặng chì.</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2608.00.00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kẽm và tinh quặng kẽm.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26.09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thiếc và tinh quặng thiếc.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2609.00.00.10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2609.00.00.90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2610.00.00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Quặng crôm và tinh quặng crôm.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vonfram và tinh quặng vonfram.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2611.00.00.10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2611.00.00.90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urani hoặc quặng thori và tinh quặng urani hoặc tinh quặng thori.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2612.10.00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urani và tinh quặng urani: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2612.10.00.10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2612.10.00.90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2612.20.00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thori và tinh quặng thori: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2612.20.00.10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2612.20.00.90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26.13</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molipden và tinh quặng molipden.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2613.10.00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2613.90.00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2613.90.00.10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2613.90.00.90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titan và tinh quặng titan.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2614.00.10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inmenit và tinh quặng inmenit: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2614.00.10.10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 inmenit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2614.00.10.90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2614.00.90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2614.00.90.10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 rutil 83%≤TiO2≤ 87%</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2614.00.90.90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niobi, tantali, vanadi hoặc zircon và tinh quặng của các loại quặng đó.</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2615.10.00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zircon và tinh quặng zircon: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2615.10.00.20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Bột zircon siêu mịn cỡ hạt nhỏ hơn 75µm (micrô mét)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2615.90.00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Niobi:</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2615.90.00.10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2615.90.00.20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2615.90.00.30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2615.90.00.90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26.16</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Quặng kim loại quý và tinh quặng kim loại quý.</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2616.10.00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bạc và tinh quặng bạc: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2616.90.00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2616.90.00.10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vàng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2616.90.00.20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2616.90.00.90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26.17</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quặng khác và tinh quặng của các quặng đó.</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2617.10.00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Quặng antimon và tinh quặng antimon: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2617.10.00.10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2617.10.00.90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2617.90.00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2617.90.00.10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Quặng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2617.90.00.90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Tinh quặng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2618.00.00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Xỉ hạt (xỉ cát) từ công nghiệp luyện sắt hoặc thép.</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2619.00.00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Xỉ, xỉ luyện kim (trừ xỉ hạt), vụn xỉ và các phế thải khác từ công nghiệp luyện sắt hoặc thép.</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Xỉ, tro và cặn (trừ loại thu được từ quá trình sản xuất sắt hoặc thép), có chứa kim loại, arsen hoặc các hợp chất của chúng.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Chứa chủ yếu là kẽm: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Kẽm tạp chất cứng (sten tráng kẽm)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2620.19.00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Chứa chủ yếu là chì:</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2620.21.00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Cặn của xăng pha chì và cặn của hợp chất chì chống kích nổ</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2620.29.00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2620.30.00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Chứa chủ yếu là đồng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2620.40.00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Chứa chủ yếu là nhôm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2620.60.00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Chứa arsen, thuỷ ngân, tali hoặc hỗn hợp của chúng, là loại dùng để tách arsen hoặc những kim loại trên hoặc dùng để sản xuất các hợp chất hóa học của chúng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2620.91.00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Chứa antimon, berily, cađimi, crom hoặc các hỗn hợp của chúng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2620.99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2620.99.10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Xỉ và phần chưa cháy hết (hardhead) của thiếc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2620.99.90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26.21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Xỉ và tro khác, kể cả tro tảo biển (tảo bẹ); tro và cặn từ quá trình đốt rác thải đô thị.</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2621.90.90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2621.90.90.10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Xỉ than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27</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Nhiên liệu khoáng, dầu khoáng và các sản phẩm chưng cất từ chúng; các chất chứa bi-tum; các loại sáp khoáng chất</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Than đá; than bánh, than quả bàng và nhiên liệu rắn tương tự sản xuất từ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Than đá, đã hoặc chưa nghiền thành bột, nhưng chưa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Anthracite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2701.12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Than bi-tum: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2701.12.10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Than để luyện cốc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2701.12.90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2701.19.00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Than đá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2701.20.00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bánh, than quả bàng và nhiên liệu rắn tương tự sản xuất từ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Than non, đã hoặc chưa đóng bánh, trừ than huyền.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2702.10.00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non, đã hoặc chưa nghiền thành bột, nhưng chưa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2702.20.00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non đã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27.03</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Than bùn (kể cả bùn rác), đã hoặc chưa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2703.00.10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bùn, đã hoặc chưa ép thành kiện, nhưng chưa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2703.00.20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bùn đã đóng bánh</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Than cốc và than nửa cốc luyện từ than đá, than non hoặc than bùn, đã hoặc chưa đóng bánh; muội bình chưng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2704.00.10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cốc và than nửa cốc luyện từ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2704.00.20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 cốc và than nửa cốc luyện từ than non hoặc than bùn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2704.00.30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Muội bình chưng than đá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27.09</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Dầu mỏ và các loại dầu thu được từ các khoáng bi-tum, ở dạng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2709.00.10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Dầu mỏ thô</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2709.00.20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Condensate</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Khí dầu mỏ và các loại khí hydrocarbon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Dạng hóa lỏng: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Khí tự nhiên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2711.12.00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Propan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2711.13.00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Butan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2711.14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Etylen, propylen, butylen và butadien: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2711.14.10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Etylen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2711.14.90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2711.19.00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Dạng khí:</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2711.21</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Khí tự nhiên: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2711.21.10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sử dụng làm nhiên liệu động cơ</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2711.21.90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2711.29.00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27.12</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Vazơlin (petroleum jelly); sáp parafin, sáp dầu lửa vi tinh thể, sáp than cám, ozokerite, sáp than non, sáp than bùn, sáp khoáng khác, và sản phẩm tương tự thu được từ qui trình tổng hợp hoặc qui trình khác, đã hoặc chưa nhuộm màu.</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2712.10.00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Vazơlin (petroleum jelly)</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2712.2000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Sáp parafin có hàm lượng dầu dưới 0,75% tính theo trọng lượng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2712.90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2712.90.10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Sáp parafin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2712.90.90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27.13</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Cốc dầu mỏ, bi-tum dầu mỏ và các cặn khác từ dầu có nguồn gốc từ dầu mỏ hoặc từ các loại dầu thu được từ các khoáng bi-tum.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Cốc dầu mỏ:</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2713.11.00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2713.12.00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Đã nung</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2713.20.00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Bi-tum dầu mỏ</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2713.90.00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Cặn khác từ dầu có nguồn gốc từ dầu mỏ hoặc từ các loại dầu thu được từ các khoáng bi-tum</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27.14</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Bi-tum và nhựa đường (asphalt), ở dạng tự nhiên; đá phiến sét dầu hoặc đá phiến sét bi-tum và cát hắc ín; asphaltit và đá chứa asphaltic.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2714.10.00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Đá phiến sét dầu hoặc đá phiến sét bi-tum và cát hắc ín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2714.90.00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27.15</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Hỗn hợp chứa bi-tum dựa trên asphalt tự nhiên, bi-tum tự nhiên, bi- tum dầu mỏ, hắc ín khoáng chất hoặc nhựa hắc ín khoáng chất (ví dụ, matít có chứa bi-tum, cut-backs).</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2715.00.10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Chất phủ hắc ín polyurethan</w:t>
            </w:r>
          </w:p>
        </w:tc>
      </w:tr>
      <w:tr>
        <w:tblPrEx>
          <w:tblW w:w="5000" w:type="pct"/>
          <w:jc w:val="left"/>
          <w:tblCellMar>
            <w:top w:w="0" w:type="dxa"/>
            <w:left w:w="0" w:type="dxa"/>
            <w:bottom w:w="0" w:type="dxa"/>
            <w:right w:w="0" w:type="dxa"/>
          </w:tblCellMar>
        </w:tblPrEx>
        <w:trPr>
          <w:jc w:val="left"/>
        </w:trPr>
        <w:tc>
          <w:tcPr>
            <w:tcW w:w="940"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2715.00.90</w:t>
            </w:r>
          </w:p>
        </w:tc>
        <w:tc>
          <w:tcPr>
            <w:tcW w:w="4060"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bl>
    <w:p>
      <w:pPr>
        <w:bidi w:val="0"/>
        <w:spacing w:before="120" w:beforeAutospacing="0" w:after="280" w:afterAutospacing="1"/>
      </w:pPr>
      <w:r>
        <w:rPr>
          <w:rFonts w:ascii="Arial" w:eastAsia="Arial" w:hAnsi="Arial" w:cs="Arial"/>
          <w:b/>
          <w:bCs/>
          <w:sz w:val="20"/>
          <w:rtl w:val="0"/>
        </w:rPr>
        <w:t xml:space="preserve">Ghi chú: </w:t>
      </w:r>
      <w:r>
        <w:rPr>
          <w:rFonts w:ascii="Arial" w:eastAsia="Arial" w:hAnsi="Arial" w:cs="Arial"/>
          <w:sz w:val="20"/>
          <w:rtl w:val="0"/>
        </w:rPr>
        <w:t>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pPr>
        <w:bidi w:val="0"/>
        <w:spacing w:before="120" w:beforeAutospacing="0" w:after="280" w:afterAutospacing="1"/>
        <w:jc w:val="left"/>
      </w:pPr>
      <w:r>
        <w:rPr>
          <w:rFonts w:ascii="Arial" w:eastAsia="Arial" w:hAnsi="Arial" w:cs="Arial"/>
          <w:sz w:val="20"/>
          <w:rtl w:val="0"/>
        </w:rPr>
        <w:t> </w:t>
      </w:r>
    </w:p>
    <w:p>
      <w:pPr>
        <w:bidi w:val="0"/>
        <w:spacing w:before="120" w:beforeAutospacing="0" w:after="280" w:afterAutospacing="1"/>
      </w:pPr>
      <w:bookmarkStart w:id="225" w:name="chuong_pl_2"/>
      <w:r>
        <w:rPr>
          <w:rFonts w:ascii="Arial" w:eastAsia="Arial" w:hAnsi="Arial" w:cs="Arial"/>
          <w:sz w:val="24"/>
          <w:rtl w:val="0"/>
        </w:rPr>
        <w:t>PHỤ LỤC II</w:t>
      </w:r>
      <w:bookmarkEnd w:id="225"/>
    </w:p>
    <w:p>
      <w:pPr>
        <w:bidi w:val="0"/>
        <w:spacing w:before="120" w:beforeAutospacing="0" w:after="0" w:afterAutospacing="0"/>
        <w:ind w:left="0" w:right="0"/>
        <w:jc w:val="center"/>
      </w:pPr>
      <w:bookmarkStart w:id="226" w:name="chuong_pl_2_name"/>
      <w:r>
        <w:rPr>
          <w:rFonts w:ascii="Arial" w:eastAsia="Arial" w:hAnsi="Arial" w:cs="Arial"/>
          <w:i w:val="0"/>
          <w:sz w:val="20"/>
          <w:rtl w:val="0"/>
        </w:rPr>
        <w:t>TÀI NGUYÊN, KHOÁNG SẢN KHAI THÁC ĐÃ CHẾ BIẾN THÀNH SẢN PHẨM KHÁC</w:t>
      </w:r>
      <w:bookmarkEnd w:id="226"/>
      <w:r>
        <w:rPr>
          <w:rFonts w:ascii="Arial" w:eastAsia="Arial" w:hAnsi="Arial" w:cs="Arial"/>
          <w:i w:val="0"/>
          <w:sz w:val="20"/>
          <w:rtl w:val="0"/>
        </w:rPr>
        <w:br/>
      </w:r>
      <w:r>
        <w:rPr>
          <w:rFonts w:ascii="Arial" w:eastAsia="Arial" w:hAnsi="Arial" w:cs="Arial"/>
          <w:sz w:val="20"/>
          <w:rtl w:val="0"/>
        </w:rPr>
        <w:t>(Kèm theo Nghị định số 181/2025/NĐ-CP ngày 01 tháng 7 năm 2025 của Chính phủ)</w:t>
      </w:r>
    </w:p>
    <w:tbl>
      <w:tblPr>
        <w:tblW w:w="5000" w:type="pct"/>
        <w:jc w:val="left"/>
        <w:tblCellMar>
          <w:top w:w="0" w:type="dxa"/>
          <w:left w:w="0" w:type="dxa"/>
          <w:bottom w:w="0" w:type="dxa"/>
          <w:right w:w="0" w:type="dxa"/>
        </w:tblCellMar>
      </w:tblPr>
      <w:tblGrid>
        <w:gridCol w:w="1602"/>
        <w:gridCol w:w="7038"/>
      </w:tblGrid>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Mã hàng</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Mô tả hàng hoá</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28</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Hoá chất vô cơ; các hợp chất vô cơ hoặc hữu cơ của kim loại quý, kim loại đất hiếm, các nguyên tố phóng xạ hoặc các chất đồng vị</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28.04</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Hydro, khí hiếm và các phi kim loại khác.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2804.70.00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Phospho:</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2804.70.00.10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Phospho vàng</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28.11</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Axit vô cơ khác và các hợp chất vô cơ chứa oxy khác của các phi kim loại.</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Hợp chất vô cơ chứa oxy khác của phi kim loại:</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2811.22</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Silic dioxit: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2811.22.10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bột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28.17</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Kẽm oxit; kẽm peroxit.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2817.00.10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Kẽm oxit: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2817.00.10.10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Kẽm oxit dạng bột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28.23</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Titan oxit.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2523.00.00.10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Xỉ titan có hàm lượng TiO2 ≥ 85%, FeO ≤ 10%</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2823.00.00.20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-Xỉ titan có hàm lượng 70% ≤ TiO2 &lt; 85%, FeO ≤ 10%</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2823.00.00.30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Rutile có hàm lượng TiO2 &gt; 87%)</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2823. 00.00.40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Inmenit hoàn nguyên có hàm lượng TiO2 ≥ 56%, FeO ≤ 11%)</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28.36</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Carbonat; peroxocarbonat (percarbonat); amoni carbonat thương phẩm có chứa amoni carbamat.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2836.50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Canxi carbonat: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2836.50.90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28.49</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Carbua, đã hoặc chưa xác định về mặt hóa học.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2849.20.00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Của silic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Chương 71</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Ngọc trai tự nhiên hoặc nuôi cấy, đá quý hoặc đá bán quý, kim loại quý, kim loại được dát phủ kim loại quý, và các sản phẩm của chúng; đồ trang sức làm bằng chất liệu khác; tiền kim loại</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71.02</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Kim cương, đã hoặc chưa được gia công, nhưng chưa được gắn hoặc nạm dát.</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7102.10.00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Kim cương chưa được phân loại:</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7102.10.00.10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hoặc mới chỉ được cắt, tách một cách đơn giản hay mới chỉ được chuốt hoặc mài sơ qua</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7102.10.00.90</w:t>
            </w:r>
          </w:p>
        </w:tc>
        <w:tc>
          <w:tcPr>
            <w:tcW w:w="4073"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Kim cương công nghiệp: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7102.21.00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hoặc mới chỉ được cắt, tách một cách đơn giản hoặc mới chỉ được chuốt hoặc mài sơ qua</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7102.29.00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Kim cương phi công nghiệp: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7102.31.00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hoặc mới chỉ được cắt, tách một cách đơn giản hoặc mới chỉ được chuốt hoặc mài sơ qua</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7102.39.00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quý (trừ kim cương) và đá bán quý, đã hoặc chưa được gia công hoặc phân loại nhưng chưa xâu chuỗi, chưa gắn hoặc nạm dát; đá quý (trừ kim cương) và đá bán quý chưa được phân loại, đã được xâu thành chuỗi tạm thời để tiện vận chuyển.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7103.10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Chưa gia công hoặc mới chỉ được cắt đơn giản hoặc tạo hình thô:</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Rubi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7103.10.20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Ngọc bích (nephrite và jadeite)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Đã gia công cách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7103.91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Rubi, saphia và ngọc lục bảo:</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7103.91.10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Rubi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7103.91.90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7103.99.00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Đá quý hoặc đá bán quý tổng hợp hoặc tái tạo, đã hoặc chưa gia công hoặc phân loại nhưng chưa xâu thành chuỗi, chưa gắn hoặc nạm dát; đá quý hoặc đá bán quý tổng hợp hoặc tái tạo chưa phân loại, đã được xâu thành chuỗi tạm thời để tiện vận chuyển.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7104.10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Thạch anh áp điện: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được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7104.10.20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Đã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 chưa gia công hoặc mới chỉ được cắt đơn giản hoặc tạo hình thô:</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7104.21.00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Kim cương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Kim cương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7104.99.00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Bụi và bột của đá quý hoặc đá bán quý tự nhiên hoặc tổng hợp.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7105.10.00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Của kim cương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7105.90.00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Bạc (kể cả bạc được mạ vàng hoặc bạch kim), chưa gia công hoặc ở dạng bán thành phẩm, hoặc dạng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7106.10.00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Dạng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7106.91.00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7106.92.00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bán thành phẩm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71.08</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Vàng (kể cả vàng mạ bạch kim) chưa gia công hoặc ở dạng bán thành phẩm, hoặc ở dạng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Không phải dạng tiền tệ:</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Dạng chưa gia công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7108.12.10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cục, thỏi hoặc thanh đúc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7108.12.90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7108.13.00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bán thành phẩm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7108.20.00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Dạng tiền tệ</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71.13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 trang sức và các bộ phận của đồ trang sức, bằng kim loại quý hoặc kim loại được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kim loại quý đã hoặc chưa mạ hoặc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7113.19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Bằng kim loại quý khác, đã hoặc chưa mạ hoặc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7113.19.10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Bộ phận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7113.19.90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71.14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 kỹ nghệ vàng hoặc bạc và các bộ phận của đồ kỹ nghệ vàng bạc, bằng kim loại quý hoặc kim loại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kim loại quý đã hoặc chưa mạ hoặc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7114.19.00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kim loại quý khác, đã hoặc chưa mạ hoặc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71.15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sản phẩm khác bằng kim loại quý hoặc kim loại dát phủ kim loại quý.</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7115.90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7115.90.10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vàng hoặc bạc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Sắt và thép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72.02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Hợp kim fero.</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7202.99.00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72.04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sắt; thỏi đúc phế liệu nấu lại từ sắt hoặc thép.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 của gang đúc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Phế liệu và mảnh vụn của thép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thép không gỉ</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 của sắt hoặc thép tráng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Phế liệu và mảnh vụn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7204.41.00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Phoi tiện, phoi bào, mảnh vỡ, vảy cán, mạt cưa, mạt giũa, phoi cắt và bavia, đã hoặc chưa được ép thành khối hoặc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7204.49.00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7204.50.00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Thỏi đúc phế liệu nấu lại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Đồng và các sản phẩm bằng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Sten đồng; đồng xi măng hoá (đồng kết tủa).</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Sten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7401.00.20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Đồng xi măng hóa (đồng kết tủa)</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Đồng chưa tinh luyện; a-nốt đồng dùng cho điện phân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7402.00.10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Đồng xốp (blister copper)</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7402.00.90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Đồng tinh luyện và hợp kim đồng,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Đồng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7403.11.00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Ca-tốt và các phần của ca-tốt: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Đồng tinh luyện nguyên chất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Thanh để kéo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7403.13.00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Que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Hợp kim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Hợp kim đồng-kẽm (đồng thau)</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7403.22.00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Hợp kim đồng-thiếc (đồng thanh)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7403.29.00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Hợp kim đồng khác (trừ các loại hợp kim đồng chủ thuộc nhóm 74.05)</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7404.00.00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Phế liệu và mảnh vụn của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7405.00.00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Hợp kim đồng chủ.</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Bột và vảy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7406.10.00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không có cấu trúc lớp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7406.20.00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có cấu trúc lớp; vảy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74.07</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Đồng ở dạng thanh, que và dạng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7407.10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đồng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7407.10.30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Dạng thanh và que: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7407.10.41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Mặt cắt ngang hình vuông hoặc hình chữ nhật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7407.10.49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hợp kim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hợp kim đồng-kẽm (đồng thau)</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7407.29.00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74.11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loại ống và ống dẫn bằng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7411.10.00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đồng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7411.10.00.90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hợp kim đồng: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7411.21.00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hợp kim đồng-kẽm (đồng thau)</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7411.22.00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hợp kim đồng-niken (đồng kền) hoặc hợp kim đồng-niken-kẽm (bạc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7411.29.00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Niken và các sản phẩm bằng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75.01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Sten niken, oxit niken thiêu kết và các sản phẩm trung gian khác của quá trình luyện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Sten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7501.20.00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Oxit niken thiêu kết và các sản phẩm trung gian khác của quá trình luyện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75.02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Niken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7502.10.00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Niken,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7502.20.00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Hợp kim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75.03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7503.00.00.10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niken,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7503.00.00.90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7504.00.00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Bột và vảy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75.05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Niken ở dạng thanh, que, hình và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Thanh, que và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7505.11.00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niken,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7505.12.00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Bằng hợp kim niken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Nhôm và các sản phẩm bằng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Nhôm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Nhôm,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7601.20.00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Hợp kim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7602.00.00.10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nhôm,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7602.00.00.20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Bột và vảy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7603.10.00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không có cấu trúc lớp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7603.20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Bột có cấu trúc lớp; vảy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7603.20.10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Vảy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7603.20.20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Bột có cấu trúc lớp</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Nhôm ở dạng thanh, que và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7604.10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nhôm,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thanh và que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hợp kim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7604.21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Dạng hình rỗng: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7604.21.10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phù hợp để làm dàn lạnh của máy điều hoà không khí cho xe có động cơ</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7604.21.20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Thanh đệm bằng nhôm cho cửa ra vào và cửa sổ</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7604.21.90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7604.29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thanh và que được ép đùn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7604.29.30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hình chữ Y dùng cho dây khóa kéo, ở dạng cuộn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7604.29.90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Dây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nhôm,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7605.11.00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Kích thước mặt cắt ngang lớn nhất trên 7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7605.19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7605.19.10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Đường kính không quá 0,0508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7605.19.90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Bằng hợp kim nhôm: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Kích thước mặt cắt ngang lớn nhất trên 7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7605.29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7605.29.10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Có đường kính không quá 0,254mm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7605.29.90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76.06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Nhôm ở dạng tấm, lá và dải, chiều dày trên 0,2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Hình chữ nhật (kể cả hình vuông):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7606.11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Bằng nhôm,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 - - </w:t>
            </w:r>
            <w:r>
              <w:rPr>
                <w:rFonts w:ascii="Arial" w:eastAsia="Arial" w:hAnsi="Arial" w:cs="Arial"/>
                <w:i w:val="0"/>
                <w:sz w:val="20"/>
                <w:rtl w:val="0"/>
              </w:rPr>
              <w:t>Dạng lá:</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7606.12.32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xml:space="preserve">- - - - </w:t>
            </w:r>
            <w:r>
              <w:rPr>
                <w:rFonts w:ascii="Arial" w:eastAsia="Arial" w:hAnsi="Arial" w:cs="Arial"/>
                <w:i w:val="0"/>
                <w:sz w:val="20"/>
                <w:rtl w:val="0"/>
              </w:rPr>
              <w:t>Để làm lon (kể cả đáy lon và nắp lon), dạng cuộn: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7606.12 32.10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 - Dải nhôm cuộn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78</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Chì và các sản phẩm bằng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78.01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Chì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7801.10.00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Chì tinh luyện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7801.91.00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Có hàm lượng antimon tính theo khối lượng là lớn nhất so với hàm lượng của các nguyên tố khác ngoài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7801.99.00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78.02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7802.00.00.10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chì,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7802.00.00.90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78.04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Chì ở dạng tấm, lá, dải và lá mỏng; bột và vảy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Chì ở dạng tấm, lá, dải và lá mỏng: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7804.11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Lá, dải và lá mỏng có chiều dày (trừ phần bồi) không quá 0,2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7804.11.10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Chiều dày không quá 0,15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7804.11.90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7804.19.00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7804.20.00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 và vảy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78.06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sản phẩm khác bằng chì.</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7806.00.20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Thanh, que, dạng hình và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7806.00.20.10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Thanh, que, dạng hình</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79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Kẽm và các sản phẩm bằng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79.01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Kẽm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Kẽm,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7901.11.00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Có hàm lượng kẽm từ 99,99% trở lên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7901.11.00.10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7901.11.00.90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7901.12.00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Có hàm lượng kẽm dưới 99,99% tính theo khối lượng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7901.12.00.10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7901.12.00.90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7901.20.00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Hợp kim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7901.20.00.10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7901.20.00.90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79.02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7902.00.00.10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kẽm, đã hoặc chưa được đóng, ép thành khối hay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7902.00.00.90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79.03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Bột, bụi và vảy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7903.10.00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Bụi kẽm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7903.90.00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i/>
                <w:iCs/>
                <w:rtl w:val="0"/>
              </w:rPr>
              <w:t>7904.00.00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Kẽm ở dạng thanh, que, hình và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79.05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xml:space="preserve">Kẽm </w:t>
            </w:r>
            <w:r>
              <w:rPr>
                <w:rFonts w:ascii="Arial" w:eastAsia="Arial" w:hAnsi="Arial" w:cs="Arial"/>
                <w:b/>
                <w:bCs/>
                <w:sz w:val="20"/>
                <w:rtl w:val="0"/>
              </w:rPr>
              <w:t>ở</w:t>
            </w:r>
            <w:r>
              <w:rPr>
                <w:rFonts w:ascii="Arial" w:eastAsia="Arial" w:hAnsi="Arial" w:cs="Arial"/>
                <w:b/>
                <w:bCs/>
                <w:i w:val="0"/>
                <w:sz w:val="20"/>
                <w:rtl w:val="0"/>
              </w:rPr>
              <w:t xml:space="preserve"> dạng tấm, lá, dải và lá mỏng.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7905.00.40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Chiều dày không quá 0,15 mm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7905.00.90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80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Thiếc và các sản phẩm bằng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80.01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Thiếc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Thiếc, không hợp kim: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8001.10.00.10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8001.10.00.90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8001.20.00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Hợp kim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8001.20.00.10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thỏi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8001.20.00.90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80.02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Phế liệu và mảnh vụn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8002.00.00.10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Phoi tiện, phoi bào, bụi xẻ, mùn mạt giũa, bột nghiền, bột đẽo của thiếc, đã hoặc chưa được ép thành khối hay đóng thành kiện, bánh, bó</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8002.00.00.90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80.03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xml:space="preserve">Thiếc </w:t>
            </w:r>
            <w:r>
              <w:rPr>
                <w:rFonts w:ascii="Arial" w:eastAsia="Arial" w:hAnsi="Arial" w:cs="Arial"/>
                <w:b/>
                <w:bCs/>
                <w:sz w:val="20"/>
                <w:rtl w:val="0"/>
              </w:rPr>
              <w:t>ở</w:t>
            </w:r>
            <w:r>
              <w:rPr>
                <w:rFonts w:ascii="Arial" w:eastAsia="Arial" w:hAnsi="Arial" w:cs="Arial"/>
                <w:b/>
                <w:bCs/>
                <w:i w:val="0"/>
                <w:sz w:val="20"/>
                <w:rtl w:val="0"/>
              </w:rPr>
              <w:t xml:space="preserve"> dạng thanh, que, dạng hình và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8003.00.10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Thanh và que hàn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8003.00.90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80.07</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Các sản phẩm khác bằng thiếc.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8007.00.30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Lá mỏng (đã hoặc chưa in hoặc bồi trên giấy, bìa, plastic hoặc vật liệu bồi tương tự), có chiều dày (trừ phần bồi) không quá 0,2 mm; dạng bột và vảy: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8007.00.30.10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Dạng bột và vảy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Chương 81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Kim loại cơ bản khác; gốm kim loại; các sản phẩm của chúng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Vonfram và các sản phẩm làm từ vonfram,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8101.94.00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Vonfram chưa gia công, kể cả thanh và que thu được từ quá trình thiêu kết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8101.96.00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8101.97.00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8101.99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Thanh và que, trừ các loại thu được từ quá trình thiêu kết; dạng hình, lá, dải và lá mỏng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8101.99.90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Molypđen và các sản phẩm làm từ molypđen,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8102.10.00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8102.94.00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Molypđen chưa gia công, kể cả thanh và que thu được từ quá trình thiêu kết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8102.95.00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Thanh và que, trừ các loại thu được từ quá trình thiêu kết, dạng hình, tấm, lá, dải và lá mỏng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8102.96.00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Dây</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8102.97.00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8102.99.00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Tantan và các sản phẩm làm từ tantan,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8103.20.00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Tantan chưa gia công, kể cả thanh và que thu được từ quá trình thiêu kết;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8103.30.00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8103.91.00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Chén nung (crucible)</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8103.99.00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81.04</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Magiê và các sản phẩm của magiê,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Magiê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8104.11.00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Có chứa hàm lượng magiê ít nhất 99,8%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Mạt giũa, phoi tiện và hạt, đã được phân loại theo kích cỡ;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8104.90.00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81.05</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Coban sten và các sản phẩm trung gian khác từ luyện coban; coban và các sản phẩm bằng coban,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8105.20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Coban sten và các sản phẩm trung gian khác từ luyện coban; coban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8105.20.10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Coban chưa gia công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8105.20.90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8105.30.00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8105.90.00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81.06</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Bismut và các sản phẩm làm từ bismut,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8106.10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Chứa hàm lượng bismut trên 99,99%,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8106.10.10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Bismut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8106.10.10.10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8106.10.10.90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8106.90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8106.90.10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Bismut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8106.90.10.10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8106.90.10.90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8106.90.90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81.08</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Titan và các sản phẩm làm từ titan,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8108.20.00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Titan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8108.30.00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8108.90.00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81.09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Zircon và các sản phẩm làm từ zircon,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Zircon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8109.31.00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8109.39.00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8109.91.00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Chứa hàm lượng hafini trong zircon dưới 1/500 tính theo khối lượng</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8109.99.00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Antimon và các sản phẩm làm từ antimon,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8110.10.00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Antimon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8110.20.00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8110.90.00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81.11</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Mangan và các sản phẩm làm từ mangan,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81.12</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Beryli, crôm, hafini, reni, tali, cađimi, germani, vanadi, gali, indi và niobi (columbi), và các sản phẩm từ các kim loại này,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Beryli: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8112.12.00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8112.13.00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8112.19.00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Crôm:</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8112.21.00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8112.22.00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8112.29.00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Hafini: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8112.31.00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8112.31.00.10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8112.31.00.90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8112.39.00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Reni: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8112.41.00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8112.41.00.10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8112.41.00.90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8112.49.00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Tali: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8112.51.00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8112.52.00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8112.59.00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Cađimi:</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8112.61.00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8112.69</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8112.69.10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Chưa gia công;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8112.69.90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8112.92.00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i w:val="0"/>
                <w:sz w:val="20"/>
                <w:rtl w:val="0"/>
              </w:rPr>
              <w:t>- - Chưa gia công; phế liệu và mảnh vụn; bột:</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8112.92.00.10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8112.92.00.90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8112.99.00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 Loại khác</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rtl w:val="0"/>
              </w:rPr>
              <w:t> </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b/>
                <w:bCs/>
                <w:rtl w:val="0"/>
              </w:rPr>
              <w:t>81.13</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b/>
                <w:bCs/>
                <w:i w:val="0"/>
                <w:sz w:val="20"/>
                <w:rtl w:val="0"/>
              </w:rPr>
              <w:t>Gốm kim loại và các sản phẩm làm từ gốm kim loại, kể cả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8113.00.00.10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Phế liệu và mảnh vụn</w:t>
            </w:r>
          </w:p>
        </w:tc>
      </w:tr>
      <w:tr>
        <w:tblPrEx>
          <w:tblW w:w="5000" w:type="pct"/>
          <w:jc w:val="left"/>
          <w:tblCellMar>
            <w:top w:w="0" w:type="dxa"/>
            <w:left w:w="0" w:type="dxa"/>
            <w:bottom w:w="0" w:type="dxa"/>
            <w:right w:w="0" w:type="dxa"/>
          </w:tblCellMar>
        </w:tblPrEx>
        <w:trPr>
          <w:jc w:val="left"/>
        </w:trPr>
        <w:tc>
          <w:tcPr>
            <w:tcW w:w="927" w:type="pct"/>
            <w:tcBorders>
              <w:top w:val="nil"/>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pPr>
            <w:r>
              <w:rPr>
                <w:i/>
                <w:iCs/>
                <w:rtl w:val="0"/>
              </w:rPr>
              <w:t>8113.00.00.90</w:t>
            </w:r>
          </w:p>
        </w:tc>
        <w:tc>
          <w:tcPr>
            <w:tcW w:w="4073" w:type="pct"/>
            <w:tcBorders>
              <w:top w:val="nil"/>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pPr>
            <w:r>
              <w:rPr>
                <w:rFonts w:ascii="Arial" w:eastAsia="Arial" w:hAnsi="Arial" w:cs="Arial"/>
                <w:sz w:val="20"/>
                <w:rtl w:val="0"/>
              </w:rPr>
              <w:t>- Loại khác;</w:t>
            </w:r>
          </w:p>
        </w:tc>
      </w:tr>
    </w:tbl>
    <w:p>
      <w:pPr>
        <w:bidi w:val="0"/>
        <w:spacing w:before="120" w:beforeAutospacing="0" w:after="280" w:afterAutospacing="1"/>
        <w:jc w:val="left"/>
      </w:pPr>
      <w:r>
        <w:rPr>
          <w:rFonts w:ascii="Arial" w:eastAsia="Arial" w:hAnsi="Arial" w:cs="Arial"/>
          <w:sz w:val="20"/>
          <w:rtl w:val="0"/>
        </w:rPr>
        <w:t xml:space="preserve">Ghi chú: </w:t>
      </w:r>
      <w:r>
        <w:rPr>
          <w:rFonts w:ascii="Arial" w:eastAsia="Arial" w:hAnsi="Arial" w:cs="Arial"/>
          <w:b w:val="0"/>
          <w:sz w:val="20"/>
          <w:rtl w:val="0"/>
        </w:rPr>
        <w:t>Danh mục tại Phụ lục này bao gồm Mã hàng và Mô tả hàng hóa theo Danh mục hàng hóa xuất khẩu, nhập khẩu Việt Nam. Tổ chức, cá nhân thực hiện tra cứu Danh mục hàng hóa xuất khẩu, nhập khẩu Việt Nam để áp dụng.</w:t>
      </w:r>
    </w:p>
    <w:p>
      <w:pPr>
        <w:bidi w:val="0"/>
        <w:spacing w:before="120" w:beforeAutospacing="0" w:after="280" w:afterAutospacing="1"/>
        <w:jc w:val="left"/>
      </w:pPr>
      <w:r>
        <w:rPr>
          <w:rFonts w:ascii="Arial" w:eastAsia="Arial" w:hAnsi="Arial" w:cs="Arial"/>
          <w:b w:val="0"/>
          <w:sz w:val="20"/>
          <w:rtl w:val="0"/>
        </w:rPr>
        <w:t> </w:t>
      </w:r>
    </w:p>
    <w:p>
      <w:pPr>
        <w:bidi w:val="0"/>
        <w:spacing w:before="120" w:beforeAutospacing="0" w:after="280" w:afterAutospacing="1"/>
      </w:pPr>
      <w:bookmarkStart w:id="227" w:name="chuong_pl_3"/>
      <w:r>
        <w:rPr>
          <w:rFonts w:ascii="Arial" w:eastAsia="Arial" w:hAnsi="Arial" w:cs="Arial"/>
          <w:sz w:val="24"/>
          <w:rtl w:val="0"/>
        </w:rPr>
        <w:t>PHỤ LỤC III</w:t>
      </w:r>
      <w:bookmarkEnd w:id="227"/>
    </w:p>
    <w:p>
      <w:pPr>
        <w:bidi w:val="0"/>
        <w:spacing w:before="120" w:beforeAutospacing="0" w:after="280" w:afterAutospacing="1"/>
      </w:pPr>
      <w:bookmarkStart w:id="228" w:name="chuong_pl_3_name"/>
      <w:r>
        <w:rPr>
          <w:rFonts w:ascii="Arial" w:eastAsia="Arial" w:hAnsi="Arial" w:cs="Arial"/>
          <w:b w:val="0"/>
          <w:sz w:val="20"/>
          <w:rtl w:val="0"/>
        </w:rPr>
        <w:t>BẢNG KÊ HÀNG HÓA BÁN CHO KHÁCH XUẤT CẢNH TẠI KHU VỰC CÁCH LY, CỬA HÀNG MIỄN THUẾ</w:t>
      </w:r>
      <w:bookmarkEnd w:id="228"/>
      <w:r>
        <w:rPr>
          <w:rFonts w:ascii="Arial" w:eastAsia="Arial" w:hAnsi="Arial" w:cs="Arial"/>
          <w:b w:val="0"/>
          <w:sz w:val="20"/>
          <w:rtl w:val="0"/>
        </w:rPr>
        <w:br/>
      </w:r>
      <w:r>
        <w:rPr>
          <w:rFonts w:ascii="Arial" w:eastAsia="Arial" w:hAnsi="Arial" w:cs="Arial"/>
          <w:b w:val="0"/>
          <w:i/>
          <w:iCs/>
          <w:sz w:val="20"/>
          <w:rtl w:val="0"/>
        </w:rPr>
        <w:t>(Kèm theo Nghị định số 181/2025/NĐ-CP ngày 01 tháng 7 năm 2025 của Chính phủ)</w:t>
      </w:r>
    </w:p>
    <w:p>
      <w:pPr>
        <w:bidi w:val="0"/>
        <w:spacing w:before="120" w:beforeAutospacing="0" w:after="280" w:afterAutospacing="1"/>
      </w:pPr>
      <w:r>
        <w:rPr>
          <w:rFonts w:ascii="Arial" w:eastAsia="Arial" w:hAnsi="Arial" w:cs="Arial"/>
          <w:sz w:val="20"/>
          <w:rtl w:val="0"/>
        </w:rPr>
        <w:t>(01) Tên doanh nghiệp:</w:t>
      </w:r>
    </w:p>
    <w:p>
      <w:pPr>
        <w:bidi w:val="0"/>
        <w:spacing w:before="120" w:beforeAutospacing="0" w:after="280" w:afterAutospacing="1"/>
      </w:pPr>
      <w:r>
        <w:rPr>
          <w:rFonts w:ascii="Arial" w:eastAsia="Arial" w:hAnsi="Arial" w:cs="Arial"/>
          <w:sz w:val="20"/>
          <w:rtl w:val="0"/>
        </w:rPr>
        <w:t>(02) Mã số thuế:</w:t>
      </w:r>
    </w:p>
    <w:p>
      <w:pPr>
        <w:bidi w:val="0"/>
        <w:spacing w:before="120" w:beforeAutospacing="0" w:after="280" w:afterAutospacing="1"/>
      </w:pPr>
      <w:r>
        <w:rPr>
          <w:rFonts w:ascii="Arial" w:eastAsia="Arial" w:hAnsi="Arial" w:cs="Arial"/>
          <w:sz w:val="20"/>
          <w:rtl w:val="0"/>
        </w:rPr>
        <w:t>(03) Cửa hàng/kho chứa hàng:</w:t>
      </w:r>
    </w:p>
    <w:p>
      <w:pPr>
        <w:bidi w:val="0"/>
        <w:spacing w:before="120" w:beforeAutospacing="0" w:after="280" w:afterAutospacing="1"/>
      </w:pPr>
      <w:r>
        <w:rPr>
          <w:rFonts w:ascii="Arial" w:eastAsia="Arial" w:hAnsi="Arial" w:cs="Arial"/>
          <w:sz w:val="20"/>
          <w:rtl w:val="0"/>
        </w:rPr>
        <w:t>(04) Quốc gia/vùng lãnh thổ giao hàng:</w:t>
      </w:r>
    </w:p>
    <w:tbl>
      <w:tblPr>
        <w:tblW w:w="5000" w:type="pct"/>
        <w:jc w:val="left"/>
        <w:tblCellMar>
          <w:top w:w="0" w:type="dxa"/>
          <w:left w:w="0" w:type="dxa"/>
          <w:bottom w:w="0" w:type="dxa"/>
          <w:right w:w="0" w:type="dxa"/>
        </w:tblCellMar>
      </w:tblPr>
      <w:tblGrid>
        <w:gridCol w:w="475"/>
        <w:gridCol w:w="973"/>
        <w:gridCol w:w="983"/>
        <w:gridCol w:w="893"/>
        <w:gridCol w:w="617"/>
        <w:gridCol w:w="1934"/>
        <w:gridCol w:w="560"/>
        <w:gridCol w:w="555"/>
        <w:gridCol w:w="548"/>
        <w:gridCol w:w="629"/>
        <w:gridCol w:w="473"/>
      </w:tblGrid>
      <w:tr>
        <w:tblPrEx>
          <w:tblW w:w="5000" w:type="pct"/>
          <w:jc w:val="left"/>
          <w:tblCellMar>
            <w:top w:w="0" w:type="dxa"/>
            <w:left w:w="0" w:type="dxa"/>
            <w:bottom w:w="0" w:type="dxa"/>
            <w:right w:w="0" w:type="dxa"/>
          </w:tblCellMar>
        </w:tblPrEx>
        <w:trPr>
          <w:jc w:val="left"/>
        </w:trPr>
        <w:tc>
          <w:tcPr>
            <w:tcW w:w="275" w:type="pct"/>
            <w:vMerge w:val="restar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STT</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886" w:type="pct"/>
            <w:gridSpan w:val="5"/>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Thông tin người mua hàng</w:t>
            </w:r>
          </w:p>
        </w:tc>
        <w:tc>
          <w:tcPr>
            <w:tcW w:w="1276" w:type="pct"/>
            <w:gridSpan w:val="4"/>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Thông tin hàng hóa</w:t>
            </w:r>
          </w:p>
        </w:tc>
      </w:tr>
      <w:tr>
        <w:tblPrEx>
          <w:tblW w:w="5000" w:type="pct"/>
          <w:jc w:val="left"/>
          <w:tblCellMar>
            <w:top w:w="0" w:type="dxa"/>
            <w:left w:w="0" w:type="dxa"/>
            <w:bottom w:w="0" w:type="dxa"/>
            <w:right w:w="0" w:type="dxa"/>
          </w:tblCellMar>
        </w:tblPrEx>
        <w:trPr>
          <w:jc w:val="left"/>
        </w:trPr>
        <w:tc>
          <w:tcPr>
            <w:tcW w:w="0" w:type="auto"/>
            <w:vMerge/>
            <w:tcBorders>
              <w:top w:val="single" w:sz="8" w:space="0" w:color="auto"/>
              <w:left w:val="single" w:sz="8" w:space="0" w:color="auto"/>
              <w:bottom w:val="nil"/>
              <w:right w:val="nil"/>
            </w:tcBorders>
            <w:shd w:val="clear" w:color="auto" w:fill="auto"/>
            <w:vAlign w:val="center"/>
          </w:tcPr>
          <w:p>
            <w:pPr>
              <w:bidi w:val="0"/>
              <w:spacing w:before="120" w:beforeAutospacing="0" w:after="0" w:afterAutospacing="0"/>
              <w:jc w:val="center"/>
            </w:pP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Số hóa đơn</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Ngày hóa đơn</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Họ tên</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Quốc tịch</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Số hộ chiếu/số giấy thông hành/số giấy tờ có giá trị đi lại quốc tế</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Ngày cấp</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Tên hàng</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Đơn vị tính</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Số lượng</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b/>
                <w:bCs/>
                <w:i w:val="0"/>
                <w:sz w:val="20"/>
                <w:rtl w:val="0"/>
              </w:rPr>
              <w:t>Trị giá</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(05)</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(06)</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(07)</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(08)</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(09)</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(10)</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(11)</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(12)</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(13)</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(14)</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Fonts w:ascii="Arial" w:eastAsia="Arial" w:hAnsi="Arial" w:cs="Arial"/>
                <w:i w:val="0"/>
                <w:sz w:val="20"/>
                <w:rtl w:val="0"/>
              </w:rPr>
              <w:t>(15)</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nil"/>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nil"/>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r>
        <w:tblPrEx>
          <w:tblW w:w="5000" w:type="pct"/>
          <w:jc w:val="left"/>
          <w:tblCellMar>
            <w:top w:w="0" w:type="dxa"/>
            <w:left w:w="0" w:type="dxa"/>
            <w:bottom w:w="0" w:type="dxa"/>
            <w:right w:w="0" w:type="dxa"/>
          </w:tblCellMar>
        </w:tblPrEx>
        <w:trPr>
          <w:jc w:val="left"/>
        </w:trPr>
        <w:tc>
          <w:tcPr>
            <w:tcW w:w="275"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3"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6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51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5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1119"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21"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17"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364" w:type="pct"/>
            <w:tcBorders>
              <w:top w:val="single" w:sz="8" w:space="0" w:color="auto"/>
              <w:left w:val="single" w:sz="8" w:space="0" w:color="auto"/>
              <w:bottom w:val="single" w:sz="8" w:space="0" w:color="auto"/>
              <w:right w:val="nil"/>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c>
          <w:tcPr>
            <w:tcW w:w="274" w:type="pct"/>
            <w:tcBorders>
              <w:top w:val="single" w:sz="8" w:space="0" w:color="auto"/>
              <w:left w:val="single" w:sz="8" w:space="0" w:color="auto"/>
              <w:bottom w:val="single" w:sz="8" w:space="0" w:color="auto"/>
              <w:right w:val="single" w:sz="8" w:space="0" w:color="auto"/>
            </w:tcBorders>
            <w:shd w:val="solid" w:color="FFFFFF" w:fill="auto"/>
            <w:tcMar>
              <w:top w:w="0" w:type="dxa"/>
              <w:left w:w="0" w:type="dxa"/>
              <w:bottom w:w="0" w:type="dxa"/>
              <w:right w:w="0" w:type="dxa"/>
            </w:tcMar>
            <w:vAlign w:val="center"/>
          </w:tcPr>
          <w:p>
            <w:pPr>
              <w:bidi w:val="0"/>
              <w:spacing w:before="120" w:beforeAutospacing="0" w:after="0" w:afterAutospacing="0"/>
              <w:jc w:val="center"/>
            </w:pPr>
            <w:r>
              <w:rPr>
                <w:rtl w:val="0"/>
              </w:rPr>
              <w:t> </w:t>
            </w:r>
          </w:p>
        </w:tc>
      </w:tr>
    </w:tbl>
    <w:p>
      <w:pPr>
        <w:bidi w:val="0"/>
        <w:spacing w:before="120" w:beforeAutospacing="0" w:after="280" w:afterAutospacing="1"/>
      </w:pPr>
      <w:r>
        <w:rPr>
          <w:rtl w:val="0"/>
        </w:rPr>
        <w:t> </w:t>
      </w:r>
    </w:p>
    <w:tbl>
      <w:tblPr>
        <w:tblW w:w="5000" w:type="pct"/>
        <w:jc w:val="left"/>
        <w:tblCellMar>
          <w:top w:w="0" w:type="dxa"/>
          <w:left w:w="0" w:type="dxa"/>
          <w:bottom w:w="0" w:type="dxa"/>
          <w:right w:w="0" w:type="dxa"/>
        </w:tblCellMar>
      </w:tblPr>
      <w:tblGrid>
        <w:gridCol w:w="4320"/>
        <w:gridCol w:w="4320"/>
      </w:tblGrid>
      <w:tr>
        <w:tblPrEx>
          <w:tblW w:w="5000" w:type="pct"/>
          <w:jc w:val="left"/>
          <w:tblCellMar>
            <w:top w:w="0" w:type="dxa"/>
            <w:left w:w="0" w:type="dxa"/>
            <w:bottom w:w="0" w:type="dxa"/>
            <w:right w:w="0" w:type="dxa"/>
          </w:tblCellMar>
        </w:tblPrEx>
        <w:trPr>
          <w:jc w:val="left"/>
        </w:trPr>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rtl w:val="0"/>
              </w:rPr>
              <w:t> </w:t>
            </w:r>
          </w:p>
        </w:tc>
        <w:tc>
          <w:tcPr>
            <w:tcW w:w="2500" w:type="pct"/>
            <w:shd w:val="clear" w:color="auto" w:fill="auto"/>
            <w:tcMar>
              <w:top w:w="0" w:type="dxa"/>
              <w:left w:w="0" w:type="dxa"/>
              <w:bottom w:w="0" w:type="dxa"/>
              <w:right w:w="0" w:type="dxa"/>
            </w:tcMar>
          </w:tcPr>
          <w:p>
            <w:pPr>
              <w:bidi w:val="0"/>
              <w:spacing w:before="120" w:beforeAutospacing="0" w:after="0" w:afterAutospacing="0"/>
              <w:jc w:val="center"/>
            </w:pPr>
            <w:r>
              <w:rPr>
                <w:b/>
                <w:bCs/>
                <w:rtl w:val="0"/>
              </w:rPr>
              <w:t>ĐẠI DIỆN THEO PHÁP LUẬT</w:t>
            </w:r>
            <w:r>
              <w:rPr>
                <w:b/>
                <w:bCs/>
                <w:rtl w:val="0"/>
              </w:rPr>
              <w:br/>
            </w:r>
            <w:r>
              <w:rPr>
                <w:b/>
                <w:bCs/>
                <w:rtl w:val="0"/>
              </w:rPr>
              <w:t>CỦA DOANH NGHIỆP</w:t>
            </w:r>
            <w:r>
              <w:rPr>
                <w:b/>
                <w:bCs/>
                <w:rtl w:val="0"/>
              </w:rPr>
              <w:br/>
            </w:r>
            <w:r>
              <w:rPr>
                <w:i/>
                <w:iCs/>
                <w:rtl w:val="0"/>
              </w:rPr>
              <w:t>(Ký tên và đóng dấu)</w:t>
            </w:r>
          </w:p>
        </w:tc>
      </w:tr>
    </w:tbl>
    <w:p>
      <w:pPr>
        <w:bidi w:val="0"/>
        <w:spacing w:before="120" w:beforeAutospacing="0" w:after="280" w:afterAutospacing="1"/>
        <w:jc w:val="center"/>
      </w:pPr>
      <w:r>
        <w:rPr>
          <w:rtl w:val="0"/>
        </w:rPr>
        <w:t> </w:t>
      </w:r>
    </w:p>
    <w:p>
      <w:pPr>
        <w:bidi w:val="0"/>
        <w:spacing w:before="120" w:beforeAutospacing="0" w:after="0" w:afterAutospacing="0"/>
        <w:ind w:left="0" w:right="0"/>
        <w:jc w:val="center"/>
      </w:pPr>
      <w:bookmarkStart w:id="229" w:name="chuong_pl_4"/>
      <w:r>
        <w:rPr>
          <w:rFonts w:ascii="Arial" w:eastAsia="Arial" w:hAnsi="Arial" w:cs="Arial"/>
          <w:b/>
          <w:bCs/>
          <w:i w:val="0"/>
          <w:sz w:val="24"/>
          <w:rtl w:val="0"/>
        </w:rPr>
        <w:t>PHỤ LỤC IV</w:t>
      </w:r>
      <w:bookmarkEnd w:id="229"/>
    </w:p>
    <w:p>
      <w:pPr>
        <w:bidi w:val="0"/>
        <w:spacing w:before="120" w:beforeAutospacing="0" w:after="280" w:afterAutospacing="1"/>
        <w:jc w:val="center"/>
      </w:pPr>
      <w:bookmarkStart w:id="230" w:name="chuong_pl_4_name"/>
      <w:r>
        <w:rPr>
          <w:rtl w:val="0"/>
        </w:rPr>
        <w:t>HOÀN THUẾ ĐỐI VỚI HÀNG HÓA MUA TẠI VIỆT NAM MANG THEO KHI XUẤT CẢNH CỦA NGƯỜI NƯỚC NGOÀI, NGƯỜI VIỆT NAM ĐỊNH CƯ Ở NƯỚC NGOÀI MANG HỘ CHIẾU HOẶC GIẤY TỜ CÓ GIÁ TRỊ ĐI LẠI QUỐC TẾ</w:t>
      </w:r>
      <w:bookmarkEnd w:id="230"/>
      <w:r>
        <w:rPr>
          <w:rtl w:val="0"/>
        </w:rPr>
        <w:br/>
      </w:r>
      <w:r>
        <w:rPr>
          <w:i/>
          <w:iCs/>
          <w:rtl w:val="0"/>
        </w:rPr>
        <w:t>(Kèm theo Nghị định số 181/2025/NĐ-CP ngày 01 tháng 7 năm 2025 của Chính phủ)</w:t>
      </w:r>
    </w:p>
    <w:p>
      <w:pPr>
        <w:bidi w:val="0"/>
        <w:spacing w:before="120" w:beforeAutospacing="0" w:after="0" w:afterAutospacing="0"/>
        <w:ind w:left="0" w:right="0"/>
      </w:pPr>
      <w:r>
        <w:rPr>
          <w:rFonts w:ascii="Arial" w:eastAsia="Arial" w:hAnsi="Arial" w:cs="Arial"/>
          <w:i w:val="0"/>
          <w:sz w:val="20"/>
          <w:rtl w:val="0"/>
        </w:rPr>
        <w:t xml:space="preserve">Việc hoàn thuế đối với trường hợp người nước ngoài, người Việt Nam định cư ở nước ngoài mang hộ chiếu hoặc giấy tờ có giá trị đi lại quốc tế mua hàng hóa tại Việt Nam và mang theo khi xuất cảnh quy định tại </w:t>
      </w:r>
      <w:bookmarkStart w:id="231" w:name="tc_21"/>
      <w:r>
        <w:rPr>
          <w:rFonts w:ascii="Arial" w:eastAsia="Arial" w:hAnsi="Arial" w:cs="Arial"/>
          <w:i w:val="0"/>
          <w:sz w:val="20"/>
          <w:rtl w:val="0"/>
        </w:rPr>
        <w:t>Điều 33 Nghị định này</w:t>
      </w:r>
      <w:bookmarkEnd w:id="231"/>
      <w:r>
        <w:rPr>
          <w:rFonts w:ascii="Arial" w:eastAsia="Arial" w:hAnsi="Arial" w:cs="Arial"/>
          <w:i w:val="0"/>
          <w:sz w:val="20"/>
          <w:rtl w:val="0"/>
        </w:rPr>
        <w:t xml:space="preserve"> được thực hiện như sau:</w:t>
      </w:r>
    </w:p>
    <w:p>
      <w:pPr>
        <w:bidi w:val="0"/>
        <w:spacing w:before="120" w:beforeAutospacing="0" w:after="0" w:afterAutospacing="0"/>
        <w:ind w:left="0" w:right="0"/>
      </w:pPr>
      <w:r>
        <w:rPr>
          <w:rFonts w:ascii="Arial" w:eastAsia="Arial" w:hAnsi="Arial" w:cs="Arial"/>
          <w:i w:val="0"/>
          <w:sz w:val="20"/>
          <w:rtl w:val="0"/>
        </w:rPr>
        <w:t>1. Hàng hóa được hoàn thuế giá trị gia tăng quy định tại Phụ lục này là hàng hóa đáp ứng quy định sau:</w:t>
      </w:r>
    </w:p>
    <w:p>
      <w:pPr>
        <w:bidi w:val="0"/>
        <w:spacing w:before="120" w:beforeAutospacing="0" w:after="0" w:afterAutospacing="0"/>
        <w:ind w:left="0" w:right="0"/>
      </w:pPr>
      <w:r>
        <w:rPr>
          <w:rFonts w:ascii="Arial" w:eastAsia="Arial" w:hAnsi="Arial" w:cs="Arial"/>
          <w:i w:val="0"/>
          <w:sz w:val="20"/>
          <w:rtl w:val="0"/>
        </w:rPr>
        <w:t xml:space="preserve">a) Hàng hóa không thuộc Danh mục hàng hóa cấm xuất khẩu; Danh mục hàng hóa xuất khẩu theo giấy phép của Bộ Công Thương hoặc Danh mục hàng hóa xuất khẩu thuộc diện quản lý chuyên ngành quy định tại Nghị định số </w:t>
      </w:r>
      <w:bookmarkStart w:id="232" w:name="tvpllink_csewxueqph"/>
      <w:r>
        <w:rPr>
          <w:rFonts w:ascii="Arial" w:eastAsia="Arial" w:hAnsi="Arial" w:cs="Arial"/>
          <w:i w:val="0"/>
          <w:sz w:val="20"/>
          <w:rtl w:val="0"/>
        </w:rPr>
        <w:t>69/2018/NĐ-CP</w:t>
      </w:r>
      <w:bookmarkEnd w:id="232"/>
      <w:r>
        <w:rPr>
          <w:rFonts w:ascii="Arial" w:eastAsia="Arial" w:hAnsi="Arial" w:cs="Arial"/>
          <w:i w:val="0"/>
          <w:sz w:val="20"/>
          <w:rtl w:val="0"/>
        </w:rPr>
        <w:t xml:space="preserve"> ngày 15 tháng 5 năm 2018 của Chính phủ quy định chi tiết một số điều của </w:t>
      </w:r>
      <w:bookmarkStart w:id="233" w:name="tvpllink_pugiufdkvo"/>
      <w:r>
        <w:rPr>
          <w:rFonts w:ascii="Arial" w:eastAsia="Arial" w:hAnsi="Arial" w:cs="Arial"/>
          <w:i w:val="0"/>
          <w:sz w:val="20"/>
          <w:rtl w:val="0"/>
        </w:rPr>
        <w:t>Luật Quản lý ngoại thương</w:t>
      </w:r>
      <w:bookmarkEnd w:id="233"/>
      <w:r>
        <w:rPr>
          <w:rFonts w:ascii="Arial" w:eastAsia="Arial" w:hAnsi="Arial" w:cs="Arial"/>
          <w:i w:val="0"/>
          <w:sz w:val="20"/>
          <w:rtl w:val="0"/>
        </w:rPr>
        <w:t xml:space="preserve"> và các văn bản hướng dẫn Nghị định này.</w:t>
      </w:r>
    </w:p>
    <w:p>
      <w:pPr>
        <w:bidi w:val="0"/>
        <w:spacing w:before="120" w:beforeAutospacing="0" w:after="0" w:afterAutospacing="0"/>
        <w:ind w:left="0" w:right="0"/>
      </w:pPr>
      <w:r>
        <w:rPr>
          <w:rFonts w:ascii="Arial" w:eastAsia="Arial" w:hAnsi="Arial" w:cs="Arial"/>
          <w:i w:val="0"/>
          <w:sz w:val="20"/>
          <w:rtl w:val="0"/>
        </w:rPr>
        <w:t xml:space="preserve">b) Hàng hóa không thuộc đối tượng cấm đưa lên tàu bay quy định tại </w:t>
      </w:r>
      <w:bookmarkStart w:id="234" w:name="dc_33"/>
      <w:r>
        <w:rPr>
          <w:rFonts w:ascii="Arial" w:eastAsia="Arial" w:hAnsi="Arial" w:cs="Arial"/>
          <w:i w:val="0"/>
          <w:sz w:val="20"/>
          <w:rtl w:val="0"/>
        </w:rPr>
        <w:t>Điều 12 Luật Hàng không dân dụng Việt Nam</w:t>
      </w:r>
      <w:bookmarkEnd w:id="234"/>
      <w:r>
        <w:rPr>
          <w:rFonts w:ascii="Arial" w:eastAsia="Arial" w:hAnsi="Arial" w:cs="Arial"/>
          <w:i w:val="0"/>
          <w:sz w:val="20"/>
          <w:rtl w:val="0"/>
        </w:rPr>
        <w:t xml:space="preserve"> ngày 29 tháng 6 năm 2006 và các văn bản hướng dẫn thực hiện.</w:t>
      </w:r>
    </w:p>
    <w:p>
      <w:pPr>
        <w:bidi w:val="0"/>
        <w:spacing w:before="120" w:beforeAutospacing="0" w:after="0" w:afterAutospacing="0"/>
        <w:ind w:left="0" w:right="0"/>
      </w:pPr>
      <w:r>
        <w:rPr>
          <w:rFonts w:ascii="Arial" w:eastAsia="Arial" w:hAnsi="Arial" w:cs="Arial"/>
          <w:i w:val="0"/>
          <w:sz w:val="20"/>
          <w:rtl w:val="0"/>
        </w:rPr>
        <w:t xml:space="preserve">c) Hàng hóa không thuộc các mặt hàng được hoàn thuế giá trị gia tăng của người nước ngoài, người Việt Nam định cư ở nước ngoài theo quy định tại Thông tư số </w:t>
      </w:r>
      <w:bookmarkStart w:id="235" w:name="tvpllink_ovepshmqqo"/>
      <w:r>
        <w:rPr>
          <w:rFonts w:ascii="Arial" w:eastAsia="Arial" w:hAnsi="Arial" w:cs="Arial"/>
          <w:i w:val="0"/>
          <w:sz w:val="20"/>
          <w:rtl w:val="0"/>
        </w:rPr>
        <w:t>08/2003/TT-BTC</w:t>
      </w:r>
      <w:bookmarkEnd w:id="235"/>
      <w:r>
        <w:rPr>
          <w:rFonts w:ascii="Arial" w:eastAsia="Arial" w:hAnsi="Arial" w:cs="Arial"/>
          <w:i w:val="0"/>
          <w:sz w:val="20"/>
          <w:rtl w:val="0"/>
        </w:rPr>
        <w:t xml:space="preserve"> ngày 15 tháng 01 năm 2003 của Bộ trưởng Bộ Tài chính hướng dẫn hoàn thuế giá trị gia tăng đối với cơ quan đại diện ngoại giao, cơ quan lãnh sự và cơ quan đại diện của tổ chức quốc tế tại Việt Nam.</w:t>
      </w:r>
    </w:p>
    <w:p>
      <w:pPr>
        <w:bidi w:val="0"/>
        <w:spacing w:before="120" w:beforeAutospacing="0" w:after="0" w:afterAutospacing="0"/>
        <w:ind w:left="0" w:right="0"/>
      </w:pPr>
      <w:r>
        <w:rPr>
          <w:rFonts w:ascii="Arial" w:eastAsia="Arial" w:hAnsi="Arial" w:cs="Arial"/>
          <w:i w:val="0"/>
          <w:sz w:val="20"/>
          <w:rtl w:val="0"/>
        </w:rPr>
        <w:t>d) Hàng hóa mua tại doanh nghiệp bán hàng hoàn thuế giá trị gia tăng, chưa qua sử dụng, còn nguyên đai, nguyên kiện khi mua hàng, có hóa đơn giá trị gia tăng kiêm tờ khai hoàn thuế được lập trong thời gian tối đa 60 ngày tính đến ngày người nước ngoài, người Việt Nam định cư ở nước ngoài xuất cảnh.</w:t>
      </w:r>
    </w:p>
    <w:p>
      <w:pPr>
        <w:bidi w:val="0"/>
        <w:spacing w:before="120" w:beforeAutospacing="0" w:after="0" w:afterAutospacing="0"/>
        <w:ind w:left="0" w:right="0"/>
      </w:pPr>
      <w:r>
        <w:rPr>
          <w:rFonts w:ascii="Arial" w:eastAsia="Arial" w:hAnsi="Arial" w:cs="Arial"/>
          <w:i w:val="0"/>
          <w:sz w:val="20"/>
          <w:rtl w:val="0"/>
        </w:rPr>
        <w:t>đ) Trị giá hàng hóa ghi trên hóa đơn giá trị gia tăng kiêm tờ khai hoàn thuế mua tại 01 cửa hàng trong 01 ngày (kể cả cộng gộp nhiều hóa đơn mua hàng trong cùng 01 ngày tại 01 cửa hàng) tối thiểu từ 02 (hai) triệu đồng trở lên.</w:t>
      </w:r>
    </w:p>
    <w:p>
      <w:pPr>
        <w:bidi w:val="0"/>
        <w:spacing w:before="120" w:beforeAutospacing="0" w:after="0" w:afterAutospacing="0"/>
        <w:ind w:left="0" w:right="0"/>
      </w:pPr>
      <w:r>
        <w:rPr>
          <w:rFonts w:ascii="Arial" w:eastAsia="Arial" w:hAnsi="Arial" w:cs="Arial"/>
          <w:i w:val="0"/>
          <w:sz w:val="20"/>
          <w:rtl w:val="0"/>
        </w:rPr>
        <w:t>2. Số tiền được hoàn thuế, đồng tiền hoàn thuế giá trị gia tăng</w:t>
      </w:r>
    </w:p>
    <w:p>
      <w:pPr>
        <w:bidi w:val="0"/>
        <w:spacing w:before="120" w:beforeAutospacing="0" w:after="0" w:afterAutospacing="0"/>
        <w:ind w:left="0" w:right="0"/>
      </w:pPr>
      <w:r>
        <w:rPr>
          <w:rFonts w:ascii="Arial" w:eastAsia="Arial" w:hAnsi="Arial" w:cs="Arial"/>
          <w:i w:val="0"/>
          <w:sz w:val="20"/>
          <w:rtl w:val="0"/>
        </w:rPr>
        <w:t>a) Số tiền thuế giá trị gia tăng người nước ngoài, người Việt Nam định cư ở nước ngoài được hoàn bằng 85% (tám mươi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pPr>
        <w:bidi w:val="0"/>
        <w:spacing w:before="120" w:beforeAutospacing="0" w:after="0" w:afterAutospacing="0"/>
        <w:ind w:left="0" w:right="0"/>
      </w:pPr>
      <w:r>
        <w:rPr>
          <w:rFonts w:ascii="Arial" w:eastAsia="Arial" w:hAnsi="Arial" w:cs="Arial"/>
          <w:i w:val="0"/>
          <w:sz w:val="20"/>
          <w:rtl w:val="0"/>
        </w:rPr>
        <w:t>Ngân hàng thương mại được hưởng bằng 15% (mười lăm phần trăm) trên tổng số tiền thuế giá trị gia tăng của số hàng hóa đủ điều kiện được hoàn thuế giá trị gia tăng do người nước ngoài, người Việt Nam định cư ở nước ngoài mang theo khi xuất cảnh qua cửa khẩu hoàn thuế.</w:t>
      </w:r>
    </w:p>
    <w:p>
      <w:pPr>
        <w:bidi w:val="0"/>
        <w:spacing w:before="120" w:beforeAutospacing="0" w:after="0" w:afterAutospacing="0"/>
        <w:ind w:left="0" w:right="0"/>
      </w:pPr>
      <w:r>
        <w:rPr>
          <w:rFonts w:ascii="Arial" w:eastAsia="Arial" w:hAnsi="Arial" w:cs="Arial"/>
          <w:i w:val="0"/>
          <w:sz w:val="20"/>
          <w:rtl w:val="0"/>
        </w:rPr>
        <w:t>b) Đồng tiền hoàn thuế là đồng Việt Nam. Trường hợp người nước ngoài, người Việt Nam định cư ở nước ngoài có yêu cầu được chuyển số tiền hoàn thuế từ đồng Việt Nam sang ngoại tệ tự do chuyển đổi thì ngân hàng thương mại thực hiện bán ngoại tệ cho người nước ngoài, người Việt Nam định cư ở nước ngoài theo quy định của pháp luật.</w:t>
      </w:r>
    </w:p>
    <w:p>
      <w:pPr>
        <w:bidi w:val="0"/>
        <w:spacing w:before="120" w:beforeAutospacing="0" w:after="0" w:afterAutospacing="0"/>
        <w:ind w:left="0" w:right="0"/>
      </w:pPr>
      <w:r>
        <w:rPr>
          <w:rFonts w:ascii="Arial" w:eastAsia="Arial" w:hAnsi="Arial" w:cs="Arial"/>
          <w:i w:val="0"/>
          <w:sz w:val="20"/>
          <w:rtl w:val="0"/>
        </w:rPr>
        <w:t>Tỷ giá chuyển đổi là tỷ giá do ngân hàng thương mại niêm yết tại thời điểm chuyển đổi và phù hợp với quy định của Ngân hàng Nhà nước Việt Nam.</w:t>
      </w:r>
    </w:p>
    <w:p>
      <w:pPr>
        <w:bidi w:val="0"/>
        <w:spacing w:before="120" w:beforeAutospacing="0" w:after="0" w:afterAutospacing="0"/>
        <w:ind w:left="0" w:right="0"/>
      </w:pPr>
      <w:r>
        <w:rPr>
          <w:rFonts w:ascii="Arial" w:eastAsia="Arial" w:hAnsi="Arial" w:cs="Arial"/>
          <w:i w:val="0"/>
          <w:sz w:val="20"/>
          <w:rtl w:val="0"/>
        </w:rPr>
        <w:t>3. Thời điểm hoàn thuế giá trị gia tăng</w:t>
      </w:r>
    </w:p>
    <w:p>
      <w:pPr>
        <w:bidi w:val="0"/>
        <w:spacing w:before="120" w:beforeAutospacing="0" w:after="0" w:afterAutospacing="0"/>
        <w:ind w:left="0" w:right="0"/>
      </w:pPr>
      <w:r>
        <w:rPr>
          <w:rFonts w:ascii="Arial" w:eastAsia="Arial" w:hAnsi="Arial" w:cs="Arial"/>
          <w:i w:val="0"/>
          <w:sz w:val="20"/>
          <w:rtl w:val="0"/>
        </w:rPr>
        <w:t>a) Thời điểm hoàn thuế giá trị gia tăng cho người nước ngoài, người Việt Nam định cư ở nước ngoài xuất cảnh được thực hiện ngay sau khi người nước ngoài, người Việt Nam định cư ở nước ngoài hoàn thành thủ tục kiểm tra hóa đơn giá trị gia tăng kiêm tờ khai hoàn thuế tại quầy hoàn thuế của ngân hàng thương mại làm đại lý hoàn thuế và trước giờ lên tàu bay của chuyến bay hoặc tàu biển của chuyến tàu người nước ngoài, người Việt Nam định cư ở nước ngoài xuất cảnh.</w:t>
      </w:r>
    </w:p>
    <w:p>
      <w:pPr>
        <w:bidi w:val="0"/>
        <w:spacing w:before="120" w:beforeAutospacing="0" w:after="0" w:afterAutospacing="0"/>
        <w:ind w:left="0" w:right="0"/>
      </w:pPr>
      <w:r>
        <w:rPr>
          <w:rFonts w:ascii="Arial" w:eastAsia="Arial" w:hAnsi="Arial" w:cs="Arial"/>
          <w:i w:val="0"/>
          <w:sz w:val="20"/>
          <w:rtl w:val="0"/>
        </w:rPr>
        <w:t>b) Cơ quan hải quan, ngân hàng thương mại có trách nhiệm bố trí cán bộ, công chức làm việc trong tất cả các ngày kể cả ngày lễ, chủ nhật và ngoài giờ làm việc hành chính để thực hiện hoàn trả tiền thuế giá trị gia tăng cho người nước ngoài, người Việt Nam định cư ở nước ngoài theo quy định tại Nghị định này.</w:t>
      </w:r>
    </w:p>
    <w:p>
      <w:pPr>
        <w:bidi w:val="0"/>
        <w:spacing w:before="120" w:beforeAutospacing="0" w:after="0" w:afterAutospacing="0"/>
        <w:ind w:left="0" w:right="0"/>
      </w:pPr>
      <w:r>
        <w:rPr>
          <w:rFonts w:ascii="Arial" w:eastAsia="Arial" w:hAnsi="Arial" w:cs="Arial"/>
          <w:i w:val="0"/>
          <w:sz w:val="20"/>
          <w:rtl w:val="0"/>
        </w:rPr>
        <w:t>4. Hồ sơ, thủ tục hoàn thuế giá trị gia tăng cho người nước ngoài, người Việt Nam định cư ở nước ngoài khi xuất cảnh</w:t>
      </w:r>
    </w:p>
    <w:p>
      <w:pPr>
        <w:bidi w:val="0"/>
        <w:spacing w:before="120" w:beforeAutospacing="0" w:after="0" w:afterAutospacing="0"/>
        <w:ind w:left="0" w:right="0"/>
      </w:pPr>
      <w:r>
        <w:rPr>
          <w:rFonts w:ascii="Arial" w:eastAsia="Arial" w:hAnsi="Arial" w:cs="Arial"/>
          <w:i w:val="0"/>
          <w:sz w:val="20"/>
          <w:rtl w:val="0"/>
        </w:rPr>
        <w:t>a) Người nước ngoài, người Việt Nam định cư ở nước ngoài xuất trình cho cơ quan hải quan tại quầy kiểm tra hóa đơn giá trị gia tăng kiêm tờ khai hoàn thuế, hàng hóa, các giấy tờ sau đây:</w:t>
      </w:r>
    </w:p>
    <w:p>
      <w:pPr>
        <w:bidi w:val="0"/>
        <w:spacing w:before="120" w:beforeAutospacing="0" w:after="0" w:afterAutospacing="0"/>
        <w:ind w:left="0" w:right="0"/>
      </w:pPr>
      <w:r>
        <w:rPr>
          <w:rFonts w:ascii="Arial" w:eastAsia="Arial" w:hAnsi="Arial" w:cs="Arial"/>
          <w:i w:val="0"/>
          <w:sz w:val="20"/>
          <w:rtl w:val="0"/>
        </w:rPr>
        <w:t>a1) Hộ chiếu hoặc giấy tờ nhập xuất cảnh.</w:t>
      </w:r>
    </w:p>
    <w:p>
      <w:pPr>
        <w:bidi w:val="0"/>
        <w:spacing w:before="120" w:beforeAutospacing="0" w:after="0" w:afterAutospacing="0"/>
        <w:ind w:left="0" w:right="0"/>
      </w:pPr>
      <w:r>
        <w:rPr>
          <w:rFonts w:ascii="Arial" w:eastAsia="Arial" w:hAnsi="Arial" w:cs="Arial"/>
          <w:i w:val="0"/>
          <w:sz w:val="20"/>
          <w:rtl w:val="0"/>
        </w:rPr>
        <w:t>a2) Hóa đơn giá trị gia tăng kiêm tờ khai hoàn thuế theo quy định của Bộ Tài chính.</w:t>
      </w:r>
    </w:p>
    <w:p>
      <w:pPr>
        <w:bidi w:val="0"/>
        <w:spacing w:before="120" w:beforeAutospacing="0" w:after="0" w:afterAutospacing="0"/>
        <w:ind w:left="0" w:right="0"/>
      </w:pPr>
      <w:r>
        <w:rPr>
          <w:rFonts w:ascii="Arial" w:eastAsia="Arial" w:hAnsi="Arial" w:cs="Arial"/>
          <w:i w:val="0"/>
          <w:sz w:val="20"/>
          <w:rtl w:val="0"/>
        </w:rPr>
        <w:t>a3) Hàng hóa.</w:t>
      </w:r>
    </w:p>
    <w:p>
      <w:pPr>
        <w:bidi w:val="0"/>
        <w:spacing w:before="120" w:beforeAutospacing="0" w:after="0" w:afterAutospacing="0"/>
        <w:ind w:left="0" w:right="0"/>
      </w:pPr>
      <w:r>
        <w:rPr>
          <w:rFonts w:ascii="Arial" w:eastAsia="Arial" w:hAnsi="Arial" w:cs="Arial"/>
          <w:i w:val="0"/>
          <w:sz w:val="20"/>
          <w:rtl w:val="0"/>
        </w:rPr>
        <w:t>b) Cơ quan hải quan kiểm tra thực tế hàng hóa tại quầy kiểm tra hóa đơn giá trị gia tăng kiêm tờ khai hoàn thuế, hàng hóa. Việc kiểm tra thực hiện như sau:</w:t>
      </w:r>
    </w:p>
    <w:p>
      <w:pPr>
        <w:bidi w:val="0"/>
        <w:spacing w:before="120" w:beforeAutospacing="0" w:after="0" w:afterAutospacing="0"/>
        <w:ind w:left="0" w:right="0"/>
      </w:pPr>
      <w:r>
        <w:rPr>
          <w:rFonts w:ascii="Arial" w:eastAsia="Arial" w:hAnsi="Arial" w:cs="Arial"/>
          <w:i w:val="0"/>
          <w:sz w:val="20"/>
          <w:rtl w:val="0"/>
        </w:rPr>
        <w:t xml:space="preserve">b1) Đối chiếu xác định từng nội dung khớp đúng giữa thông tin ghi trên hộ chiếu hoặc giấy tờ nhập xuất cảnh với thông tin trên hóa đơn giá trị gia tăng kiêm tờ khai hoàn thuế do người nước ngoài, người Việt Nam định cư ở nước ngoài xuất trình; thông tin hóa đơn giá trị gia tăng kiêm tờ khai hoàn thuế trên Hệ thống quản lý hoàn thuế giá trị gia tăng cho người nước ngoài (Hệ thống) do doanh nghiệp bán hàng gửi, Hệ thống hóa đơn điện tử của cơ quan thuế và các quy định về hàng hóa được hoàn thuế quy định tại </w:t>
      </w:r>
      <w:bookmarkStart w:id="236" w:name="tc_25_pl4"/>
      <w:r>
        <w:rPr>
          <w:rFonts w:ascii="Arial" w:eastAsia="Arial" w:hAnsi="Arial" w:cs="Arial"/>
          <w:i w:val="0"/>
          <w:sz w:val="20"/>
          <w:rtl w:val="0"/>
        </w:rPr>
        <w:t>điểm 1 Phụ lục này</w:t>
      </w:r>
      <w:bookmarkEnd w:id="236"/>
      <w:r>
        <w:rPr>
          <w:rFonts w:ascii="Arial" w:eastAsia="Arial" w:hAnsi="Arial" w:cs="Arial"/>
          <w:i w:val="0"/>
          <w:sz w:val="20"/>
          <w:rtl w:val="0"/>
        </w:rPr>
        <w:t>.</w:t>
      </w:r>
    </w:p>
    <w:p>
      <w:pPr>
        <w:bidi w:val="0"/>
        <w:spacing w:before="120" w:beforeAutospacing="0" w:after="0" w:afterAutospacing="0"/>
        <w:ind w:left="0" w:right="0"/>
      </w:pPr>
      <w:r>
        <w:rPr>
          <w:rFonts w:ascii="Arial" w:eastAsia="Arial" w:hAnsi="Arial" w:cs="Arial"/>
          <w:i w:val="0"/>
          <w:sz w:val="20"/>
          <w:rtl w:val="0"/>
        </w:rPr>
        <w:t>b2) Kiểm tra thực tế hàng hóa đối với hàng hóa phải kiểm tra thực tế theo nguyên tắc quản lý rủi ro.</w:t>
      </w:r>
    </w:p>
    <w:p>
      <w:pPr>
        <w:bidi w:val="0"/>
        <w:spacing w:before="120" w:beforeAutospacing="0" w:after="0" w:afterAutospacing="0"/>
        <w:ind w:left="0" w:right="0"/>
      </w:pPr>
      <w:r>
        <w:rPr>
          <w:rFonts w:ascii="Arial" w:eastAsia="Arial" w:hAnsi="Arial" w:cs="Arial"/>
          <w:i w:val="0"/>
          <w:sz w:val="20"/>
          <w:rtl w:val="0"/>
        </w:rPr>
        <w:t>Trường hợp hàng hóa xuất trình không phù hợp với mô tả hàng hóa tại hóa đơn giá trị gia tăng kiêm tờ khai hoàn thuế hoặc hóa đơn giá trị gia tăng kiêm tờ khai hoàn thuế ghi không đầy đủ thông tin theo quy định hoặc hóa đơn giá trị gia tăng kiêm tờ khai hoàn thuế không có trên Hệ thống, Hệ thống hóa đơn điện tử của cơ quan thuế (trừ trường hợp Hệ thống xảy ra sự cố) thì cơ quan hải quan trao đổi, xác minh với doanh nghiệp bán hàng. Trường hợp thông tin trao đổi với doanh nghiệp bán hàng không khớp đúng với thông tin hàng hóa, hóa đơn và hộ chiếu thì cơ quan hải quan từ chối hoàn thuế.</w:t>
      </w:r>
    </w:p>
    <w:p>
      <w:pPr>
        <w:bidi w:val="0"/>
        <w:spacing w:before="120" w:beforeAutospacing="0" w:after="0" w:afterAutospacing="0"/>
        <w:ind w:left="0" w:right="0"/>
      </w:pPr>
      <w:r>
        <w:rPr>
          <w:rFonts w:ascii="Arial" w:eastAsia="Arial" w:hAnsi="Arial" w:cs="Arial"/>
          <w:i w:val="0"/>
          <w:sz w:val="20"/>
          <w:rtl w:val="0"/>
        </w:rPr>
        <w:t xml:space="preserve">b3) Ghi kết quả kiểm tra, đóng dấu đồng ý hoàn thuế hay từ chối hoàn thuế. Trường hợp cơ quan hải quan đồng ý hoàn thuế thì xác định mặt hàng, tính số tiền thuế giá trị gia tăng người nước ngoài, người Việt Nam định cư ở nước ngoài thực tế được hoàn theo quy định tại </w:t>
      </w:r>
      <w:bookmarkStart w:id="237" w:name="tc_22_pl4"/>
      <w:r>
        <w:rPr>
          <w:rFonts w:ascii="Arial" w:eastAsia="Arial" w:hAnsi="Arial" w:cs="Arial"/>
          <w:i w:val="0"/>
          <w:sz w:val="20"/>
          <w:rtl w:val="0"/>
        </w:rPr>
        <w:t>điểm 2 Phụ lục này</w:t>
      </w:r>
      <w:bookmarkEnd w:id="237"/>
      <w:r>
        <w:rPr>
          <w:rFonts w:ascii="Arial" w:eastAsia="Arial" w:hAnsi="Arial" w:cs="Arial"/>
          <w:i w:val="0"/>
          <w:sz w:val="20"/>
          <w:rtl w:val="0"/>
        </w:rPr>
        <w:t>.</w:t>
      </w:r>
    </w:p>
    <w:p>
      <w:pPr>
        <w:bidi w:val="0"/>
        <w:spacing w:before="120" w:beforeAutospacing="0" w:after="0" w:afterAutospacing="0"/>
        <w:ind w:left="0" w:right="0"/>
      </w:pPr>
      <w:r>
        <w:rPr>
          <w:rFonts w:ascii="Arial" w:eastAsia="Arial" w:hAnsi="Arial" w:cs="Arial"/>
          <w:i w:val="0"/>
          <w:sz w:val="20"/>
          <w:rtl w:val="0"/>
        </w:rPr>
        <w:t>b4) Cập nhật thông tin hoàn thuế giá trị gia tăng cho người nước ngoài, người Việt Nam định cư ở nước ngoài vào Hệ thống theo hướng dẫn của Bộ Tài chính, ký số.</w:t>
      </w:r>
    </w:p>
    <w:p>
      <w:pPr>
        <w:bidi w:val="0"/>
        <w:spacing w:before="120" w:beforeAutospacing="0" w:after="0" w:afterAutospacing="0"/>
        <w:ind w:left="0" w:right="0"/>
      </w:pPr>
      <w:r>
        <w:rPr>
          <w:rFonts w:ascii="Arial" w:eastAsia="Arial" w:hAnsi="Arial" w:cs="Arial"/>
          <w:i w:val="0"/>
          <w:sz w:val="20"/>
          <w:rtl w:val="0"/>
        </w:rPr>
        <w:t>Trường hợp Hệ thống xảy ra sự cố, cơ quan hải quan ký, đóng dấu xác nhận đồng ý hoàn thuế hay từ chối hoàn thuế vào hóa đơn giá trị gia tăng kiêm tờ khai hoàn thuế.</w:t>
      </w:r>
    </w:p>
    <w:p>
      <w:pPr>
        <w:bidi w:val="0"/>
        <w:spacing w:before="120" w:beforeAutospacing="0" w:after="0" w:afterAutospacing="0"/>
        <w:ind w:left="0" w:right="0"/>
      </w:pPr>
      <w:r>
        <w:rPr>
          <w:rFonts w:ascii="Arial" w:eastAsia="Arial" w:hAnsi="Arial" w:cs="Arial"/>
          <w:i w:val="0"/>
          <w:sz w:val="20"/>
          <w:rtl w:val="0"/>
        </w:rPr>
        <w:t>5. Hoàn trả tiền thuế cho người nước ngoài, người Việt Nam định cư ở nước ngoài</w:t>
      </w:r>
    </w:p>
    <w:p>
      <w:pPr>
        <w:bidi w:val="0"/>
        <w:spacing w:before="120" w:beforeAutospacing="0" w:after="0" w:afterAutospacing="0"/>
        <w:ind w:left="0" w:right="0"/>
      </w:pPr>
      <w:r>
        <w:rPr>
          <w:rFonts w:ascii="Arial" w:eastAsia="Arial" w:hAnsi="Arial" w:cs="Arial"/>
          <w:i w:val="0"/>
          <w:sz w:val="20"/>
          <w:rtl w:val="0"/>
        </w:rPr>
        <w:t>a) Sau khi hóa đơn giá trị gia tăng kiêm tờ khai hoàn thuế và hàng hóa đã được cơ quan hải quan kiểm tra, người nước ngoài, người Việt Nam định cư ở nước ngoài có trách nhiệm xuất trình cho ngân hàng thương mại tại quầy hoàn thuế:</w:t>
      </w:r>
    </w:p>
    <w:p>
      <w:pPr>
        <w:bidi w:val="0"/>
        <w:spacing w:before="120" w:beforeAutospacing="0" w:after="0" w:afterAutospacing="0"/>
        <w:ind w:left="0" w:right="0"/>
      </w:pPr>
      <w:r>
        <w:rPr>
          <w:rFonts w:ascii="Arial" w:eastAsia="Arial" w:hAnsi="Arial" w:cs="Arial"/>
          <w:i w:val="0"/>
          <w:sz w:val="20"/>
          <w:rtl w:val="0"/>
        </w:rPr>
        <w:t>a1) Thẻ lên tàu bay, tàu biển.</w:t>
      </w:r>
    </w:p>
    <w:p>
      <w:pPr>
        <w:bidi w:val="0"/>
        <w:spacing w:before="120" w:beforeAutospacing="0" w:after="0" w:afterAutospacing="0"/>
        <w:ind w:left="0" w:right="0"/>
      </w:pPr>
      <w:r>
        <w:rPr>
          <w:rFonts w:ascii="Arial" w:eastAsia="Arial" w:hAnsi="Arial" w:cs="Arial"/>
          <w:i w:val="0"/>
          <w:sz w:val="20"/>
          <w:rtl w:val="0"/>
        </w:rPr>
        <w:t>a2) Hóa đơn giá trị gia tăng kiêm tờ khai hoàn thuế đã được cơ quan hải quan kiểm tra xác định mặt hàng, tính số tiền hoàn thuế giá trị gia tăng người nước ngoài, người Việt Nam định cư ở nước ngoài được hoàn và đóng dấu xác nhận (bản chính).</w:t>
      </w:r>
    </w:p>
    <w:p>
      <w:pPr>
        <w:bidi w:val="0"/>
        <w:spacing w:before="120" w:beforeAutospacing="0" w:after="0" w:afterAutospacing="0"/>
        <w:ind w:left="0" w:right="0"/>
      </w:pPr>
      <w:r>
        <w:rPr>
          <w:rFonts w:ascii="Arial" w:eastAsia="Arial" w:hAnsi="Arial" w:cs="Arial"/>
          <w:i w:val="0"/>
          <w:sz w:val="20"/>
          <w:rtl w:val="0"/>
        </w:rPr>
        <w:t>b) Ngân hàng thương mại thực hiện:</w:t>
      </w:r>
    </w:p>
    <w:p>
      <w:pPr>
        <w:bidi w:val="0"/>
        <w:spacing w:before="120" w:beforeAutospacing="0" w:after="0" w:afterAutospacing="0"/>
        <w:ind w:left="0" w:right="0"/>
      </w:pPr>
      <w:r>
        <w:rPr>
          <w:rFonts w:ascii="Arial" w:eastAsia="Arial" w:hAnsi="Arial" w:cs="Arial"/>
          <w:i w:val="0"/>
          <w:sz w:val="20"/>
          <w:rtl w:val="0"/>
        </w:rPr>
        <w:t>b1) Kiểm tra thẻ lên tàu bay, tàu biển; hóa đơn giá trị gia tăng kiêm tờ khai hoàn thuế; kiểm tra trên Hệ thống thông tin về người xuất cảnh, hàng hóa, xác nhận đồng ý hoàn thuế của cơ quan hải quan và số thuế được hoàn.</w:t>
      </w:r>
    </w:p>
    <w:p>
      <w:pPr>
        <w:bidi w:val="0"/>
        <w:spacing w:before="120" w:beforeAutospacing="0" w:after="0" w:afterAutospacing="0"/>
        <w:ind w:left="0" w:right="0"/>
      </w:pPr>
      <w:r>
        <w:rPr>
          <w:rFonts w:ascii="Arial" w:eastAsia="Arial" w:hAnsi="Arial" w:cs="Arial"/>
          <w:i w:val="0"/>
          <w:sz w:val="20"/>
          <w:rtl w:val="0"/>
        </w:rPr>
        <w:t>Trường hợp thông tin về tên hành khách trên thẻ lên tàu bay, tàu biển không đúng với thông tin trên hóa đơn giá trị gia tăng kiêm tờ khai hoàn thuế đã được cơ quan hải quan kiểm tra, xác nhận thì ngân hàng thương mại trao đổi, xác minh với cơ quan hải quan. Trường hợp thông tin trao đổi với cơ quan hải quan không khớp đúng với thông tin trên thẻ lên tàu bay, tàu biển thì ngân hàng thương mại từ chối hoàn thuế và thông báo trên Hệ thống để cơ quan hải quan biết.</w:t>
      </w:r>
    </w:p>
    <w:p>
      <w:pPr>
        <w:bidi w:val="0"/>
        <w:spacing w:before="120" w:beforeAutospacing="0" w:after="0" w:afterAutospacing="0"/>
        <w:ind w:left="0" w:right="0"/>
      </w:pPr>
      <w:r>
        <w:rPr>
          <w:rFonts w:ascii="Arial" w:eastAsia="Arial" w:hAnsi="Arial" w:cs="Arial"/>
          <w:i w:val="0"/>
          <w:sz w:val="20"/>
          <w:rtl w:val="0"/>
        </w:rPr>
        <w:t>b2) Cập nhật thông tin số hiệu, ngày tháng chuyến bay, chuyến tàu của người nước ngoài, người Việt Nam định cư ở nước ngoài và các thông tin khác theo hướng dẫn của Bộ Tài chính vào Hệ thống hoặc trên phần mềm của ngân hàng thương mại kết nối với Hệ thống, ký số và truyền cho cơ quan hải quan.</w:t>
      </w:r>
    </w:p>
    <w:p>
      <w:pPr>
        <w:bidi w:val="0"/>
        <w:spacing w:before="120" w:beforeAutospacing="0" w:after="0" w:afterAutospacing="0"/>
        <w:ind w:left="0" w:right="0"/>
      </w:pPr>
      <w:r>
        <w:rPr>
          <w:rFonts w:ascii="Arial" w:eastAsia="Arial" w:hAnsi="Arial" w:cs="Arial"/>
          <w:i w:val="0"/>
          <w:sz w:val="20"/>
          <w:rtl w:val="0"/>
        </w:rPr>
        <w:t>b3) Trả tiền hoàn thuế cho người nước ngoài, người Việt Nam định cư ở nước ngoài bằng tiền mặt hoặc qua thẻ quốc tế của người nước ngoài, người Việt Nam định cư ở nước ngoài theo số tiền thuế giá trị gia tăng người nước ngoài, người Việt Nam định cư ở nước ngoài thực tế được hoàn do cơ quan hải quan tính ghi trên hóa đơn giá trị gia tăng kiêm tờ khai hoàn thuế.</w:t>
      </w:r>
    </w:p>
    <w:p>
      <w:pPr>
        <w:bidi w:val="0"/>
        <w:spacing w:before="120" w:beforeAutospacing="0" w:after="0" w:afterAutospacing="0"/>
        <w:ind w:left="0" w:right="0"/>
      </w:pPr>
      <w:r>
        <w:rPr>
          <w:rFonts w:ascii="Arial" w:eastAsia="Arial" w:hAnsi="Arial" w:cs="Arial"/>
          <w:i w:val="0"/>
          <w:sz w:val="20"/>
          <w:rtl w:val="0"/>
        </w:rPr>
        <w:t>Trường hợp trả tiền hoàn thuế cho người nước ngoài, người Việt Nam định cư ở nước ngoài qua thẻ quốc tế, ngân hàng đối chiếu thông tin (tên, số thẻ) người nước ngoài, người Việt Nam định cư ở nước ngoài đăng ký nhận tiền hoàn thuế và thẻ thực tế xuất trình để thực hiện việc hoàn thuế.</w:t>
      </w:r>
    </w:p>
    <w:p>
      <w:pPr>
        <w:bidi w:val="0"/>
        <w:spacing w:before="120" w:beforeAutospacing="0" w:after="0" w:afterAutospacing="0"/>
        <w:ind w:left="0" w:right="0"/>
      </w:pPr>
      <w:r>
        <w:rPr>
          <w:rFonts w:ascii="Arial" w:eastAsia="Arial" w:hAnsi="Arial" w:cs="Arial"/>
          <w:i w:val="0"/>
          <w:sz w:val="20"/>
          <w:rtl w:val="0"/>
        </w:rPr>
        <w:t xml:space="preserve">Trường hợp Hệ thống xảy ra sự cố, ngân hàng thương mại căn cứ hóa đơn giá trị gia tăng kiêm tờ khai hoàn thuế giấy và xác nhận của cơ quan hải quan theo quy định tại </w:t>
      </w:r>
      <w:bookmarkStart w:id="238" w:name="tc_23_pl4"/>
      <w:r>
        <w:rPr>
          <w:rFonts w:ascii="Arial" w:eastAsia="Arial" w:hAnsi="Arial" w:cs="Arial"/>
          <w:i w:val="0"/>
          <w:sz w:val="20"/>
          <w:rtl w:val="0"/>
        </w:rPr>
        <w:t>tiết b4 điểm 4 Phụ lục này</w:t>
      </w:r>
      <w:bookmarkEnd w:id="238"/>
      <w:r>
        <w:rPr>
          <w:rFonts w:ascii="Arial" w:eastAsia="Arial" w:hAnsi="Arial" w:cs="Arial"/>
          <w:i w:val="0"/>
          <w:sz w:val="20"/>
          <w:rtl w:val="0"/>
        </w:rPr>
        <w:t xml:space="preserve">, thực hiện hoàn trả tiền thuế cho người nước ngoài, người Việt Nam định cư ở nước ngoài theo quy định tại </w:t>
      </w:r>
      <w:bookmarkStart w:id="239" w:name="tc_24_pl4"/>
      <w:r>
        <w:rPr>
          <w:rFonts w:ascii="Arial" w:eastAsia="Arial" w:hAnsi="Arial" w:cs="Arial"/>
          <w:i w:val="0"/>
          <w:sz w:val="20"/>
          <w:rtl w:val="0"/>
        </w:rPr>
        <w:t>điểm 2 Phụ lục này</w:t>
      </w:r>
      <w:bookmarkEnd w:id="239"/>
      <w:r>
        <w:rPr>
          <w:rFonts w:ascii="Arial" w:eastAsia="Arial" w:hAnsi="Arial" w:cs="Arial"/>
          <w:i w:val="0"/>
          <w:sz w:val="20"/>
          <w:rtl w:val="0"/>
        </w:rPr>
        <w:t>, đồng thời ký tên, đóng dấu xác nhận đã thanh toán tiền hoàn thuế cho người nước ngoài, người Việt Nam định cư ở nước ngoài lên hóa đơn giá trị gia tăng kiêm tờ khai hoàn thuế.</w:t>
      </w:r>
    </w:p>
    <w:p>
      <w:pPr>
        <w:bidi w:val="0"/>
        <w:spacing w:before="120" w:beforeAutospacing="0" w:after="0" w:afterAutospacing="0"/>
        <w:ind w:left="0" w:right="0"/>
      </w:pPr>
      <w:r>
        <w:rPr>
          <w:rFonts w:ascii="Arial" w:eastAsia="Arial" w:hAnsi="Arial" w:cs="Arial"/>
          <w:i w:val="0"/>
          <w:sz w:val="20"/>
          <w:rtl w:val="0"/>
        </w:rPr>
        <w:t>Ngay sau khi Hệ thống hoạt động bình thường, ngân hàng thương mại cập nhật các thông tin hóa đơn giá trị gia tăng kiêm tờ khai hoàn thuế đã hoàn thuế trên Hệ thống hoặc phần mềm của ngân hàng thương mại kết nối với Hệ thống, ký số và truyền cho cơ quan hải quan.</w:t>
      </w:r>
    </w:p>
    <w:p>
      <w:pPr>
        <w:bidi w:val="0"/>
        <w:spacing w:before="120" w:beforeAutospacing="0" w:after="0" w:afterAutospacing="0"/>
        <w:ind w:left="0" w:right="0"/>
      </w:pPr>
      <w:r>
        <w:rPr>
          <w:rFonts w:ascii="Arial" w:eastAsia="Arial" w:hAnsi="Arial" w:cs="Arial"/>
          <w:i w:val="0"/>
          <w:sz w:val="20"/>
          <w:rtl w:val="0"/>
        </w:rPr>
        <w:t>b4) Trả lại người nước ngoài, người Việt Nam định cư ở nước ngoài thẻ lên tàu bay, tàu biển.</w:t>
      </w:r>
    </w:p>
    <w:p>
      <w:pPr>
        <w:bidi w:val="0"/>
        <w:spacing w:before="120" w:beforeAutospacing="0" w:after="0" w:afterAutospacing="0"/>
        <w:ind w:left="0" w:right="0"/>
      </w:pPr>
      <w:r>
        <w:rPr>
          <w:rFonts w:ascii="Arial" w:eastAsia="Arial" w:hAnsi="Arial" w:cs="Arial"/>
          <w:i w:val="0"/>
          <w:sz w:val="20"/>
          <w:rtl w:val="0"/>
        </w:rPr>
        <w:t>b5) Lưu trữ hồ sơ hoàn thuế đối với chứng từ điện tử và chứng từ giấy theo quy định của pháp luật.</w:t>
      </w:r>
    </w:p>
    <w:p>
      <w:pPr>
        <w:bidi w:val="0"/>
        <w:spacing w:before="120" w:beforeAutospacing="0" w:after="0" w:afterAutospacing="0"/>
        <w:ind w:left="0" w:right="0"/>
      </w:pPr>
      <w:r>
        <w:rPr>
          <w:rFonts w:ascii="Arial" w:eastAsia="Arial" w:hAnsi="Arial" w:cs="Arial"/>
          <w:i w:val="0"/>
          <w:sz w:val="20"/>
          <w:rtl w:val="0"/>
        </w:rPr>
        <w:t>6. Hồ sơ, thủ tục hoàn thuế giá trị gia tăng cho ngân hàng thương mại là đại lý hoàn thuế giá trị gia tăng cho khách xuất cảnh thực hiện theo quy định của pháp luật về quản lý thuế.</w:t>
      </w:r>
    </w:p>
    <w:p>
      <w:pPr>
        <w:bidi w:val="0"/>
        <w:spacing w:before="120" w:beforeAutospacing="0" w:after="0" w:afterAutospacing="0"/>
        <w:ind w:left="0" w:right="0"/>
      </w:pPr>
      <w:r>
        <w:rPr>
          <w:rFonts w:ascii="Arial" w:eastAsia="Arial" w:hAnsi="Arial" w:cs="Arial"/>
          <w:sz w:val="20"/>
          <w:rtl w:val="0"/>
        </w:rPr>
        <w:t> </w:t>
      </w:r>
    </w:p>
    <w:p>
      <w:pPr>
        <w:bidi w:val="0"/>
        <w:spacing w:before="120" w:beforeAutospacing="0" w:after="0" w:afterAutospacing="0"/>
        <w:ind w:left="0" w:right="0"/>
        <w:jc w:val="center"/>
      </w:pPr>
      <w:bookmarkStart w:id="240" w:name="chuong_pl_5"/>
      <w:r>
        <w:rPr>
          <w:rFonts w:ascii="Arial" w:eastAsia="Arial" w:hAnsi="Arial" w:cs="Arial"/>
          <w:b/>
          <w:bCs/>
          <w:i w:val="0"/>
          <w:sz w:val="24"/>
          <w:rtl w:val="0"/>
        </w:rPr>
        <w:t>PHỤ LỤC V</w:t>
      </w:r>
      <w:bookmarkEnd w:id="240"/>
    </w:p>
    <w:p>
      <w:pPr>
        <w:bidi w:val="0"/>
        <w:spacing w:before="120" w:beforeAutospacing="0" w:after="0" w:afterAutospacing="0"/>
        <w:ind w:left="0" w:right="0"/>
        <w:jc w:val="center"/>
      </w:pPr>
      <w:bookmarkStart w:id="241" w:name="chuong_pl_5_name"/>
      <w:r>
        <w:rPr>
          <w:rFonts w:ascii="Arial" w:eastAsia="Arial" w:hAnsi="Arial" w:cs="Arial"/>
          <w:i w:val="0"/>
          <w:sz w:val="20"/>
          <w:rtl w:val="0"/>
        </w:rPr>
        <w:t>XÁC ĐỊNH TỶ TRỌNG TRỊ GIÁ TÀI NGUYÊN, KHOÁNG SẢN VÀ CHI PHÍ NĂNG LƯỢNG TRÊN GIÁ THÀNH SẢN PHẨM</w:t>
      </w:r>
      <w:bookmarkEnd w:id="241"/>
      <w:r>
        <w:rPr>
          <w:rFonts w:ascii="Arial" w:eastAsia="Arial" w:hAnsi="Arial" w:cs="Arial"/>
          <w:i w:val="0"/>
          <w:sz w:val="20"/>
          <w:rtl w:val="0"/>
        </w:rPr>
        <w:br/>
      </w:r>
      <w:r>
        <w:rPr>
          <w:rFonts w:ascii="Arial" w:eastAsia="Arial" w:hAnsi="Arial" w:cs="Arial"/>
          <w:sz w:val="20"/>
          <w:rtl w:val="0"/>
        </w:rPr>
        <w:t>(Kèm theo Nghị định số 181/2025/NĐ-CP ngày 01 tháng 7 năm 2025 của Chính phủ)</w:t>
      </w:r>
    </w:p>
    <w:p>
      <w:pPr>
        <w:bidi w:val="0"/>
        <w:spacing w:before="120" w:beforeAutospacing="0" w:after="0" w:afterAutospacing="0"/>
        <w:ind w:left="0" w:right="0"/>
      </w:pPr>
      <w:r>
        <w:rPr>
          <w:rFonts w:ascii="Arial" w:eastAsia="Arial" w:hAnsi="Arial" w:cs="Arial"/>
          <w:i w:val="0"/>
          <w:sz w:val="20"/>
          <w:rtl w:val="0"/>
        </w:rPr>
        <w:t>Sản phẩm xuất khẩu là hàng hóa được chế biến trực tiếp từ nguyên liệu chính là tài nguyên, khoáng sản có tổng trị giá tài nguyên, khoáng sản cộng với chi phí năng lượng chiếm từ 51% giá thành sản xuất sản phẩm trở lên.</w:t>
      </w:r>
    </w:p>
    <w:p>
      <w:pPr>
        <w:bidi w:val="0"/>
        <w:spacing w:before="120" w:beforeAutospacing="0" w:after="0" w:afterAutospacing="0"/>
        <w:ind w:left="0" w:right="0"/>
      </w:pPr>
      <w:r>
        <w:rPr>
          <w:rFonts w:ascii="Arial" w:eastAsia="Arial" w:hAnsi="Arial" w:cs="Arial"/>
          <w:i w:val="0"/>
          <w:sz w:val="20"/>
          <w:rtl w:val="0"/>
        </w:rPr>
        <w:t>1. Tài nguyên, khoáng sản là tài nguyên, khoáng sản có nguồn gốc trong nước gồm: Khoáng sản kim loại; khoáng sản không kim loại; dầu thô; khí thiên nhiên; khí than.</w:t>
      </w:r>
    </w:p>
    <w:p>
      <w:pPr>
        <w:bidi w:val="0"/>
        <w:spacing w:before="120" w:beforeAutospacing="0" w:after="0" w:afterAutospacing="0"/>
        <w:ind w:left="0" w:right="0"/>
      </w:pPr>
      <w:r>
        <w:rPr>
          <w:rFonts w:ascii="Arial" w:eastAsia="Arial" w:hAnsi="Arial" w:cs="Arial"/>
          <w:i w:val="0"/>
          <w:sz w:val="20"/>
          <w:rtl w:val="0"/>
        </w:rPr>
        <w:t>2. Việc xác định tỷ trọng trị giá tài nguyên, khoáng sản và chi phí năng lượng trên giá thành được thực hiện theo công thức:</w:t>
      </w:r>
    </w:p>
    <w:tbl>
      <w:tblPr>
        <w:tblW w:w="5000" w:type="pct"/>
        <w:jc w:val="left"/>
        <w:tblCellMar>
          <w:top w:w="0" w:type="dxa"/>
          <w:left w:w="0" w:type="dxa"/>
          <w:bottom w:w="0" w:type="dxa"/>
          <w:right w:w="0" w:type="dxa"/>
        </w:tblCellMar>
      </w:tblPr>
      <w:tblGrid>
        <w:gridCol w:w="2594"/>
        <w:gridCol w:w="437"/>
        <w:gridCol w:w="4633"/>
        <w:gridCol w:w="976"/>
      </w:tblGrid>
      <w:tr>
        <w:tblPrEx>
          <w:tblW w:w="5000" w:type="pct"/>
          <w:jc w:val="left"/>
          <w:tblCellMar>
            <w:top w:w="0" w:type="dxa"/>
            <w:left w:w="0" w:type="dxa"/>
            <w:bottom w:w="0" w:type="dxa"/>
            <w:right w:w="0" w:type="dxa"/>
          </w:tblCellMar>
        </w:tblPrEx>
        <w:trPr>
          <w:jc w:val="left"/>
        </w:trPr>
        <w:tc>
          <w:tcPr>
            <w:tcW w:w="1501" w:type="pct"/>
            <w:vMerge w:val="restart"/>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i w:val="0"/>
                <w:sz w:val="20"/>
                <w:rtl w:val="0"/>
              </w:rPr>
              <w:t>Tỷ trọng trị giá tài nguyên, khoáng sản và chi phí năng lượng trên giá thành sản xuất sản phẩm</w:t>
            </w:r>
          </w:p>
        </w:tc>
        <w:tc>
          <w:tcPr>
            <w:tcW w:w="253" w:type="pct"/>
            <w:vMerge w:val="restart"/>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i w:val="0"/>
                <w:sz w:val="20"/>
                <w:rtl w:val="0"/>
              </w:rPr>
              <w:t>=</w:t>
            </w:r>
          </w:p>
        </w:tc>
        <w:tc>
          <w:tcPr>
            <w:tcW w:w="2681" w:type="pct"/>
            <w:tcBorders>
              <w:top w:val="nil"/>
              <w:left w:val="nil"/>
              <w:bottom w:val="single" w:sz="8" w:space="0" w:color="auto"/>
              <w:right w:val="nil"/>
            </w:tcBorders>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i w:val="0"/>
                <w:sz w:val="20"/>
                <w:rtl w:val="0"/>
              </w:rPr>
              <w:t>Trị giá tài nguyên, khoáng sản + chi phí năng lượng</w:t>
            </w:r>
          </w:p>
        </w:tc>
        <w:tc>
          <w:tcPr>
            <w:tcW w:w="565" w:type="pct"/>
            <w:vMerge w:val="restart"/>
            <w:shd w:val="clear" w:color="auto" w:fill="auto"/>
            <w:tcMar>
              <w:top w:w="0" w:type="dxa"/>
              <w:left w:w="0" w:type="dxa"/>
              <w:bottom w:w="0" w:type="dxa"/>
              <w:right w:w="0" w:type="dxa"/>
            </w:tcMar>
            <w:vAlign w:val="center"/>
          </w:tcPr>
          <w:p>
            <w:pPr>
              <w:bidi w:val="0"/>
              <w:spacing w:before="120" w:beforeAutospacing="0" w:after="0" w:afterAutospacing="0"/>
              <w:ind w:left="0" w:right="0"/>
              <w:jc w:val="center"/>
            </w:pPr>
            <w:r>
              <w:rPr>
                <w:rFonts w:ascii="Arial" w:eastAsia="Arial" w:hAnsi="Arial" w:cs="Arial"/>
                <w:i w:val="0"/>
                <w:sz w:val="20"/>
                <w:rtl w:val="0"/>
              </w:rPr>
              <w:t>x 100%</w:t>
            </w:r>
          </w:p>
        </w:tc>
      </w:tr>
      <w:tr>
        <w:tblPrEx>
          <w:tblW w:w="5000" w:type="pct"/>
          <w:jc w:val="left"/>
          <w:tblCellMar>
            <w:top w:w="0" w:type="dxa"/>
            <w:left w:w="0" w:type="dxa"/>
            <w:bottom w:w="0" w:type="dxa"/>
            <w:right w:w="0" w:type="dxa"/>
          </w:tblCellMar>
        </w:tblPrEx>
        <w:trPr>
          <w:jc w:val="left"/>
        </w:trPr>
        <w:tc>
          <w:tcPr>
            <w:tcW w:w="0" w:type="auto"/>
            <w:vMerge/>
            <w:shd w:val="clear" w:color="auto" w:fill="auto"/>
            <w:vAlign w:val="center"/>
          </w:tcPr>
          <w:p>
            <w:pPr>
              <w:bidi w:val="0"/>
              <w:spacing w:before="120" w:beforeAutospacing="0" w:after="0" w:afterAutospacing="0"/>
              <w:ind w:left="0" w:right="0"/>
              <w:jc w:val="center"/>
            </w:pPr>
          </w:p>
        </w:tc>
        <w:tc>
          <w:tcPr>
            <w:tcW w:w="0" w:type="auto"/>
            <w:vMerge/>
            <w:shd w:val="clear" w:color="auto" w:fill="auto"/>
            <w:vAlign w:val="center"/>
          </w:tcPr>
          <w:p>
            <w:pPr>
              <w:bidi w:val="0"/>
              <w:spacing w:before="120" w:beforeAutospacing="0" w:after="0" w:afterAutospacing="0"/>
              <w:ind w:left="0" w:right="0"/>
              <w:jc w:val="center"/>
            </w:pPr>
          </w:p>
        </w:tc>
        <w:tc>
          <w:tcPr>
            <w:tcW w:w="2681" w:type="pct"/>
            <w:shd w:val="clear" w:color="auto" w:fill="auto"/>
            <w:tcMar>
              <w:top w:w="0" w:type="dxa"/>
              <w:left w:w="0" w:type="dxa"/>
              <w:bottom w:w="0" w:type="dxa"/>
              <w:right w:w="0" w:type="dxa"/>
            </w:tcMar>
            <w:vAlign w:val="center"/>
          </w:tcPr>
          <w:p>
            <w:pPr>
              <w:bidi w:val="0"/>
              <w:spacing w:before="120" w:beforeAutospacing="0" w:after="0" w:afterAutospacing="0"/>
              <w:jc w:val="center"/>
            </w:pPr>
            <w:r>
              <w:rPr>
                <w:rtl w:val="0"/>
              </w:rPr>
              <w:t>Tổng giá thành sản xuất sản phẩm</w:t>
            </w:r>
          </w:p>
        </w:tc>
        <w:tc>
          <w:tcPr>
            <w:tcW w:w="0" w:type="auto"/>
            <w:vMerge/>
            <w:shd w:val="clear" w:color="auto" w:fill="auto"/>
            <w:vAlign w:val="center"/>
          </w:tcPr>
          <w:p>
            <w:pPr>
              <w:bidi w:val="0"/>
              <w:spacing w:before="120" w:beforeAutospacing="0" w:after="0" w:afterAutospacing="0"/>
              <w:jc w:val="center"/>
            </w:pPr>
          </w:p>
        </w:tc>
      </w:tr>
    </w:tbl>
    <w:p>
      <w:pPr>
        <w:bidi w:val="0"/>
        <w:spacing w:before="120" w:beforeAutospacing="0" w:after="0" w:afterAutospacing="0"/>
        <w:ind w:left="0" w:right="0"/>
      </w:pPr>
      <w:r>
        <w:rPr>
          <w:rFonts w:ascii="Arial" w:eastAsia="Arial" w:hAnsi="Arial" w:cs="Arial"/>
          <w:i w:val="0"/>
          <w:sz w:val="20"/>
          <w:rtl w:val="0"/>
        </w:rPr>
        <w:t>Trong đó:</w:t>
      </w:r>
    </w:p>
    <w:p>
      <w:pPr>
        <w:bidi w:val="0"/>
        <w:spacing w:before="120" w:beforeAutospacing="0" w:after="0" w:afterAutospacing="0"/>
        <w:ind w:left="0" w:right="0"/>
      </w:pPr>
      <w:r>
        <w:rPr>
          <w:rFonts w:ascii="Arial" w:eastAsia="Arial" w:hAnsi="Arial" w:cs="Arial"/>
          <w:i w:val="0"/>
          <w:sz w:val="20"/>
          <w:rtl w:val="0"/>
        </w:rPr>
        <w:t>Trị giá tài nguyên, khoáng sản đưa vào chế biến được xác định như sau: Đối với tài nguyên, khoáng sản trực tiếp khai thác là chi phí trực tiếp, gián tiếp khai thác ra tài nguyên, khoáng sản không bao gồm chi phí vận chuyển tài nguyên, khoáng sản từ nơi khai thác đến nơi chế biến; đối với tài nguyên, khoáng sản mua để chế biến tiếp là giá thực tế mua không bao gồm chi phí vận chuyển tài nguyên, khoáng sản từ nơi mua đến nơi chế biến.</w:t>
      </w:r>
    </w:p>
    <w:p>
      <w:pPr>
        <w:bidi w:val="0"/>
        <w:spacing w:before="120" w:beforeAutospacing="0" w:after="0" w:afterAutospacing="0"/>
        <w:ind w:left="0" w:right="0"/>
      </w:pPr>
      <w:r>
        <w:rPr>
          <w:rFonts w:ascii="Arial" w:eastAsia="Arial" w:hAnsi="Arial" w:cs="Arial"/>
          <w:i w:val="0"/>
          <w:sz w:val="20"/>
          <w:rtl w:val="0"/>
        </w:rPr>
        <w:t>Chi phí năng lượng gồm: nhiên liệu, điện năng, nhiệt năng.</w:t>
      </w:r>
    </w:p>
    <w:p>
      <w:pPr>
        <w:bidi w:val="0"/>
        <w:spacing w:before="120" w:beforeAutospacing="0" w:after="0" w:afterAutospacing="0"/>
        <w:ind w:left="0" w:right="0"/>
      </w:pPr>
      <w:r>
        <w:rPr>
          <w:rFonts w:ascii="Arial" w:eastAsia="Arial" w:hAnsi="Arial" w:cs="Arial"/>
          <w:i w:val="0"/>
          <w:sz w:val="20"/>
          <w:rtl w:val="0"/>
        </w:rPr>
        <w:t>Trị giá tài nguyên, khoáng sản và chi phí năng lượng được xác định theo giá trị ghi sổ kế toán phù hợp với Bảng tổng hợp tính giá thành sản phẩm.</w:t>
      </w:r>
    </w:p>
    <w:p>
      <w:pPr>
        <w:bidi w:val="0"/>
        <w:spacing w:before="120" w:beforeAutospacing="0" w:after="0" w:afterAutospacing="0"/>
        <w:ind w:left="0" w:right="0"/>
      </w:pPr>
      <w:r>
        <w:rPr>
          <w:rFonts w:ascii="Arial" w:eastAsia="Arial" w:hAnsi="Arial" w:cs="Arial"/>
          <w:i w:val="0"/>
          <w:sz w:val="20"/>
          <w:rtl w:val="0"/>
        </w:rPr>
        <w:t>Giá thành sản xuất sản phẩm bao gồm: Chi phí nguyên vật liệu trực tiếp, chi phí nhân công trực tiếp và chi phí sản xuất chung. Các chi phí gián tiếp như chi phí bán hàng, chi phí quản lý, chi phí tài chính và chi phí khác không được tính vào giá thành sản xuất sản phẩm.</w:t>
      </w:r>
    </w:p>
    <w:p>
      <w:pPr>
        <w:bidi w:val="0"/>
        <w:spacing w:before="120" w:beforeAutospacing="0" w:after="0" w:afterAutospacing="0"/>
        <w:ind w:left="0" w:right="0"/>
      </w:pPr>
      <w:r>
        <w:rPr>
          <w:rFonts w:ascii="Arial" w:eastAsia="Arial" w:hAnsi="Arial" w:cs="Arial"/>
          <w:i w:val="0"/>
          <w:sz w:val="20"/>
          <w:rtl w:val="0"/>
        </w:rPr>
        <w:t>Tỷ lệ trị giá tài nguyên, khoáng sản và chi phí năng lượng trên giá thành sản xuất sản phẩm được xác định căn cứ vào quyết toán năm trước và tỷ lệ này được áp dụng ổn định trong năm xuất khẩu. Trường hợp năm đầu tiên xuất khẩu sản phẩm thì tỷ lệ trị giá tài nguyên, khoáng sản và chi phí năng lượng trên giá thành sản xuất sản phẩm được xác định theo phương án đầu tư và tỷ lệ này được áp dụng ổn định trong năm xuất khẩu; trường hợp không có phương án đầu tư thì tỷ lệ trị giá tài nguyên, khoáng sản và chi phí năng lượng trên giá thành sản xuất sản phẩm được xác định theo thực tế của sản phẩm xuất khẩu.</w:t>
      </w:r>
    </w:p>
    <w:p>
      <w:pPr>
        <w:bidi w:val="0"/>
        <w:spacing w:before="120" w:beforeAutospacing="0" w:after="0" w:afterAutospacing="0"/>
        <w:ind w:left="0" w:right="0"/>
      </w:pPr>
      <w:r>
        <w:rPr>
          <w:rFonts w:ascii="Arial" w:eastAsia="Arial" w:hAnsi="Arial" w:cs="Arial"/>
          <w:i w:val="0"/>
          <w:sz w:val="20"/>
          <w:rtl w:val="0"/>
        </w:rPr>
        <w:t>3. Trường hợp doanh nghiệp không xuất khẩu mà bán cho doanh nghiệp khác để xuất khẩu thì doanh nghiệp mua hàng hóa này để xuất khẩu phải thực hiện kê khai thuế giá trị gia tăng như sản phẩm cùng loại do doanh nghiệp sản xuất trực tiếp xuất khẩu.</w:t>
      </w:r>
    </w:p>
    <w:p>
      <w:pPr>
        <w:bidi w:val="0"/>
        <w:spacing w:before="120" w:beforeAutospacing="0" w:after="280" w:afterAutospacing="1"/>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