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B87C10"/>
          <w:sz w:val="56"/>
          <w:szCs w:val="56"/>
        </w:rPr>
        <w:t xml:space="preserve">LIAISON+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color w:val="7A8A99"/>
          <w:sz w:val="40"/>
          <w:szCs w:val="40"/>
        </w:rPr>
        <w:t xml:space="preserve">Business Plan</w:t>
      </w:r>
    </w:p>
    <w:p>
      <w:pPr>
        <w:pBdr>
          <w:top w:val="single" w:color="B87C10" w:sz="4" w:space="4"/>
          <w:bottom w:val="single" w:color="B87C10" w:sz="4" w:space="4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A2A3A"/>
          <w:sz w:val="32"/>
          <w:szCs w:val="32"/>
        </w:rPr>
        <w:t xml:space="preserve">リエゾンプラス サービス事業計画書</w:t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7A8A99"/>
          <w:sz w:val="22"/>
          <w:szCs w:val="22"/>
        </w:rPr>
        <w:t xml:space="preserve">個展なびリデザインプロジェクト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A8A99"/>
          <w:sz w:val="22"/>
          <w:szCs w:val="22"/>
        </w:rPr>
        <w:t xml:space="preserve">3年間 半期別シミュレーション</w:t>
      </w:r>
    </w:p>
    <w:p>
      <w:pPr>
        <w:spacing w:after="2000" w:before="60"/>
        <w:jc w:val="center"/>
      </w:pPr>
      <w:r>
        <w:rPr>
          <w:rFonts w:ascii="Arial" w:cs="Arial" w:eastAsia="Arial" w:hAnsi="Arial"/>
          <w:color w:val="B87C10"/>
          <w:sz w:val="22"/>
          <w:szCs w:val="22"/>
        </w:rPr>
        <w:t xml:space="preserve">保守・標準・積極 3シナリオ</w:t>
      </w:r>
    </w:p>
    <w:p>
      <w:r>
        <w:br w:type="page"/>
      </w:r>
    </w:p>
    <w:p>
      <w:pPr>
        <w:pStyle w:val="Heading1"/>
        <w:pBdr>
          <w:bottom w:val="single" w:color="B87C1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A3A"/>
          <w:sz w:val="36"/>
          <w:szCs w:val="36"/>
        </w:rPr>
        <w:t xml:space="preserve">1. エグゼクティブサマリー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サービス概要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31815"/>
          <w:sz w:val="20"/>
          <w:szCs w:val="20"/>
        </w:rPr>
        <w:t xml:space="preserve">LIAISON+（リエゾンプラス）は、個展なびが提供する実スペース展覧会連動型のオンライン作品販売サービスです。展覧会の会期の短さや来場の地理的制約による「機会ロス」を補完することを目的とし、クリエイター・ギャラリー双方が無料で展示し、成約時のみ手数料が発生するモデルです。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収益モデルの要点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販売手数料：〜29,999円 → 10% / 30,000円〜 → 8%（クリエイター・ギャラリー同一）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決済代行：Stripe（国内カード3.6%）— 手数料内包型（別途請求なし）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匿名配送API：Phase2以降に導入。初期費用¥150,000・運用費¥50,000/月・1件¥10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人件費・開発費・固定費：本計画では¥0（別途実費算入が必要）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3年間シミュレーション サマリー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1200"/>
        <w:gridCol w:w="17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シナリオ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3年累計GMV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3年累計
個展なび収入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3年累計
Stripe手数料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3年累計
匿名配送コスト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3年累計
営業利益</w:t>
            </w:r>
          </w:p>
        </w:tc>
        <w:tc>
          <w:tcPr>
            <w:tcW w:type="dxa" w:w="1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匿名配送
導入時期</w:t>
            </w:r>
          </w:p>
        </w:tc>
      </w:tr>
      <w:tr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A3A"/>
                <w:sz w:val="18"/>
                <w:szCs w:val="18"/>
              </w:rPr>
              <w:t xml:space="preserve">保守シナリオ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¥26,724,000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¥2,485,332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-¥962,064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-¥1,051,712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¥471,556</w:t>
            </w:r>
          </w:p>
        </w:tc>
        <w:tc>
          <w:tcPr>
            <w:tcW w:type="dxa" w:w="1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2年後</w:t>
            </w:r>
          </w:p>
        </w:tc>
      </w:tr>
      <w:tr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A3A"/>
                <w:sz w:val="18"/>
                <w:szCs w:val="18"/>
              </w:rPr>
              <w:t xml:space="preserve">標準シナリオ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¥78,591,000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¥7,308,963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-¥2,829,276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-¥1,358,580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¥3,121,107</w:t>
            </w:r>
          </w:p>
        </w:tc>
        <w:tc>
          <w:tcPr>
            <w:tcW w:type="dxa" w:w="1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1年6ヶ月後</w:t>
            </w:r>
          </w:p>
        </w:tc>
      </w:tr>
      <w:tr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A3A"/>
                <w:sz w:val="18"/>
                <w:szCs w:val="18"/>
              </w:rPr>
              <w:t xml:space="preserve">積極シナリオ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¥230,826,000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¥21,466,818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-¥8,309,736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-¥1,383,872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¥11,773,210</w:t>
            </w:r>
          </w:p>
        </w:tc>
        <w:tc>
          <w:tcPr>
            <w:tcW w:type="dxa" w:w="1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1年6ヶ月後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left w:val="single" w:color="005DA7" w:sz="14" w:space="8"/>
        </w:pBdr>
        <w:shd w:fill="E8F2FA" w:val="clear"/>
        <w:spacing w:after="100" w:before="100"/>
        <w:ind w:left="20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※ 本計画の「営業利益」はStripe手数料・匿名配送コストのみ控除した数値です。人件費・開発費・サーバー費・マーケティング費等は含まれていません。実際の収支は別途算入が必要です。</w:t>
      </w:r>
    </w:p>
    <w:p>
      <w:r>
        <w:br w:type="page"/>
      </w:r>
    </w:p>
    <w:p>
      <w:pPr>
        <w:pStyle w:val="Heading1"/>
        <w:pBdr>
          <w:bottom w:val="single" w:color="B87C1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A3A"/>
          <w:sz w:val="36"/>
          <w:szCs w:val="36"/>
        </w:rPr>
        <w:t xml:space="preserve">2. 手数料体系と収益構造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2-1. 手数料設計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31815"/>
          <w:sz w:val="20"/>
          <w:szCs w:val="20"/>
        </w:rPr>
        <w:t xml:space="preserve">Phase 1（ローンチ）では、シンプルな2段階スライディングスケールを採用します。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価格帯</w:t>
            </w:r>
          </w:p>
        </w:tc>
        <w:tc>
          <w:tcPr>
            <w:tcW w:type="dxa" w:w="1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手数料率</w:t>
            </w:r>
          </w:p>
        </w:tc>
        <w:tc>
          <w:tcPr>
            <w:tcW w:type="dxa" w:w="1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Stripe手数料</w:t>
            </w:r>
          </w:p>
        </w:tc>
        <w:tc>
          <w:tcPr>
            <w:tcW w:type="dxa" w:w="1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実質マージン</w:t>
            </w:r>
          </w:p>
        </w:tc>
        <w:tc>
          <w:tcPr>
            <w:tcW w:type="dxa" w:w="2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対象ユーザー</w:t>
            </w:r>
          </w:p>
        </w:tc>
      </w:tr>
      <w:t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〜 29,999円（低〜中価格帯）</w:t>
            </w:r>
          </w:p>
        </w:tc>
        <w:tc>
          <w:tcPr>
            <w:tcW w:type="dxa" w:w="1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7C1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約3.6%</w:t>
            </w:r>
          </w:p>
        </w:tc>
        <w:tc>
          <w:tcPr>
            <w:tcW w:type="dxa" w:w="1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約6.4%</w:t>
            </w:r>
          </w:p>
        </w:tc>
        <w:tc>
          <w:tcPr>
            <w:tcW w:type="dxa" w:w="2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クリエイター・ギャラリー共通</w:t>
            </w:r>
          </w:p>
        </w:tc>
      </w:tr>
      <w:t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30,000円〜（高価格帯）</w:t>
            </w:r>
          </w:p>
        </w:tc>
        <w:tc>
          <w:tcPr>
            <w:tcW w:type="dxa" w:w="1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7C10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約3.6%</w:t>
            </w:r>
          </w:p>
        </w:tc>
        <w:tc>
          <w:tcPr>
            <w:tcW w:type="dxa" w:w="1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約4.4%</w:t>
            </w:r>
          </w:p>
        </w:tc>
        <w:tc>
          <w:tcPr>
            <w:tcW w:type="dxa" w:w="2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クリエイター・ギャラリー共通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left w:val="single" w:color="B87C10" w:sz="14" w:space="8"/>
        </w:pBdr>
        <w:shd w:fill="FDF6E3" w:val="clear"/>
        <w:spacing w:after="100" w:before="100"/>
        <w:ind w:left="20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加重平均単価：¥25,500（低価格帯65% × ¥15,000 ＋ 高価格帯35% × ¥45,000）で試算。加重平均手数料率：9.3%。実質マージン（Stripe控除後）：約5.7%。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2-2. フェーズロードマップ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31815"/>
          <w:sz w:val="20"/>
          <w:szCs w:val="20"/>
        </w:rPr>
        <w:t xml:space="preserve">Phase 2では高額作品帯（10万円〜）を6%に引き下げ、プロモーションとして展開予定です。手数料は常に「下げる方向」のみ変更するため、既存ユーザーの不満は生まれません。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1600"/>
        <w:gridCol w:w="36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〜29,999円</w:t>
            </w:r>
          </w:p>
        </w:tc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30,000〜99,999円</w:t>
            </w:r>
          </w:p>
        </w:tc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100,000円〜</w:t>
            </w:r>
          </w:p>
        </w:tc>
        <w:tc>
          <w:tcPr>
            <w:tcW w:type="dxa" w:w="36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備考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1815"/>
                <w:sz w:val="18"/>
                <w:szCs w:val="18"/>
              </w:rPr>
              <w:t xml:space="preserve">1
（現行）</w:t>
            </w:r>
          </w:p>
        </w:tc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7C10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7C10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8A99"/>
                <w:sz w:val="18"/>
                <w:szCs w:val="18"/>
              </w:rPr>
              <w:t xml:space="preserve">8%</w:t>
            </w:r>
          </w:p>
        </w:tc>
        <w:tc>
          <w:tcPr>
            <w:tcW w:type="dxa" w:w="36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シンプルな2段階。ローンチ時の参入障壁を下げる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2
（予定）</w:t>
            </w:r>
          </w:p>
        </w:tc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7C10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7C10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8"/>
                <w:szCs w:val="18"/>
              </w:rPr>
              <w:t xml:space="preserve">6%</w:t>
            </w:r>
          </w:p>
        </w:tc>
        <w:tc>
          <w:tcPr>
            <w:tcW w:type="dxa" w:w="36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高額作品キャンペーンとして発表。既存ユーザーにも朗報として告知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2-3. 競合比較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39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サービス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低価格帯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中価格帯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高価格帯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展覧会連動</w:t>
            </w:r>
          </w:p>
        </w:tc>
        <w:tc>
          <w:tcPr>
            <w:tcW w:type="dxa" w:w="3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備考</w:t>
            </w:r>
          </w:p>
        </w:tc>
      </w:tr>
      <w:tr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1815"/>
                <w:sz w:val="18"/>
                <w:szCs w:val="18"/>
              </w:rPr>
              <w:t xml:space="preserve">LIAISON+（Phase1）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7C10"/>
                <w:sz w:val="18"/>
                <w:szCs w:val="18"/>
              </w:rPr>
              <w:t xml:space="preserve">10%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7C10"/>
                <w:sz w:val="18"/>
                <w:szCs w:val="18"/>
              </w:rPr>
              <w:t xml:space="preserve">8%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7C10"/>
                <w:sz w:val="18"/>
                <w:szCs w:val="18"/>
              </w:rPr>
              <w:t xml:space="preserve">8%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◎ 連動専用</w:t>
            </w:r>
          </w:p>
        </w:tc>
        <w:tc>
          <w:tcPr>
            <w:tcW w:type="dxa" w:w="3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展覧会会場優先型。会期中は会場販売を最優先にした設計</w:t>
            </w:r>
          </w:p>
        </w:tc>
      </w:tr>
      <w:tr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minne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10%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10%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10%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8A99"/>
                <w:sz w:val="18"/>
                <w:szCs w:val="18"/>
              </w:rPr>
              <w:t xml:space="preserve">× なし</w:t>
            </w:r>
          </w:p>
        </w:tc>
        <w:tc>
          <w:tcPr>
            <w:tcW w:type="dxa" w:w="3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国内最大手ハンドメイド。アマチュア中心</w:t>
            </w:r>
          </w:p>
        </w:tc>
      </w:tr>
      <w:tr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Creema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10%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10%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10%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8A99"/>
                <w:sz w:val="18"/>
                <w:szCs w:val="18"/>
              </w:rPr>
              <w:t xml:space="preserve">× なし</w:t>
            </w:r>
          </w:p>
        </w:tc>
        <w:tc>
          <w:tcPr>
            <w:tcW w:type="dxa" w:w="3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工芸・ハンドメイド系に強い</w:t>
            </w:r>
          </w:p>
        </w:tc>
      </w:tr>
      <w:tr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OIL by 美術手帖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20%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20%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20%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8A99"/>
                <w:sz w:val="18"/>
                <w:szCs w:val="18"/>
              </w:rPr>
              <w:t xml:space="preserve">△ 一部</w:t>
            </w:r>
          </w:p>
        </w:tc>
        <w:tc>
          <w:tcPr>
            <w:tcW w:type="dxa" w:w="3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国内アート販売・高単価。美術手帖ブランド前提</w:t>
            </w:r>
          </w:p>
        </w:tc>
      </w:tr>
      <w:tr>
        <w:tc>
          <w:tcPr>
            <w:tcW w:type="dxa" w:w="16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BASE（ショップ型）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3%+決済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3%+決済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3%+決済</w:t>
            </w:r>
          </w:p>
        </w:tc>
        <w:tc>
          <w:tcPr>
            <w:tcW w:type="dxa" w:w="1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8A99"/>
                <w:sz w:val="18"/>
                <w:szCs w:val="18"/>
              </w:rPr>
              <w:t xml:space="preserve">× なし</w:t>
            </w:r>
          </w:p>
        </w:tc>
        <w:tc>
          <w:tcPr>
            <w:tcW w:type="dxa" w:w="3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独自ショップ構築型。運営コスト・集客は自己負担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left w:val="single" w:color="B87C10" w:sz="14" w:space="8"/>
        </w:pBdr>
        <w:shd w:fill="FDF6E3" w:val="clear"/>
        <w:spacing w:after="100" w:before="100"/>
        <w:ind w:left="20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LIAISON+の競合優位性：「展覧会連動」という独自ポジション。BASEより高いが集客・信頼をプラットフォームが担う。minne/Creemaと同率以下でアート特化の価値を提供。OILの半額以下で参入障壁を下げる。</w:t>
      </w:r>
    </w:p>
    <w:p>
      <w:r>
        <w:br w:type="page"/>
      </w:r>
    </w:p>
    <w:p>
      <w:pPr>
        <w:pStyle w:val="Heading1"/>
        <w:pBdr>
          <w:bottom w:val="single" w:color="B87C1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A3A"/>
          <w:sz w:val="36"/>
          <w:szCs w:val="36"/>
        </w:rPr>
        <w:t xml:space="preserve">3. 保守シナリオ — Conservative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31815"/>
          <w:sz w:val="20"/>
          <w:szCs w:val="20"/>
        </w:rPr>
        <w:t xml:space="preserve">既存の個展なびクリエイターを中心に、口コミ・自然流入で緩やかに拡大するケース。展覧会1〜2回/年のライトユーザーが主体。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前提条件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設定値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平均作品単価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¥25,500（低価格帯65%×¥15,000 + 高価格帯35%×¥45,000の加重平均）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加重平均手数料率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9.3%（10%×65% + 8%×35%）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Stripe手数料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3.6%（国内発行カード基準）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匿名配送利用率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成約件数の20%（Phase2導入後より適用）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匿名配送API導入時期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第4期（2年後）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人件費・開発費・固定費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¥0（本計画では除外。実際の事業計画には別途算入が必要）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成長戦略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クリエイター向け丁寧なオンボーディングで初期離脱を防ぐ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個展なびの既存展覧会掲載者へのプッシュ通知で低コスト獲得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匿名配送はPhase2（2年目後半）で導入し、コスト管理を優先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半期別シミュレーション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700"/>
        <w:gridCol w:w="900"/>
        <w:gridCol w:w="900"/>
        <w:gridCol w:w="8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期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出品者数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成約件数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取引総額GMV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個展なび
収入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Stripe
手数料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匿名配送
コスト計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営業利益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累計GMV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累計利益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6"/>
                <w:szCs w:val="16"/>
              </w:rPr>
              <w:t xml:space="preserve">1年前半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20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24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¥612,000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¥56,916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-¥22,032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¥34,884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¥612,000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¥34,884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6"/>
                <w:szCs w:val="16"/>
              </w:rPr>
              <w:t xml:space="preserve">1年後半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40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56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¥1,428,000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¥132,804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-¥51,408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¥81,396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¥2,040,000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¥116,280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6"/>
                <w:szCs w:val="16"/>
              </w:rPr>
              <w:t xml:space="preserve">2年前半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70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112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¥2,856,000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¥265,608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-¥102,816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¥162,792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¥4,896,000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¥279,072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6"/>
                <w:szCs w:val="16"/>
              </w:rPr>
              <w:t xml:space="preserve">2年後半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100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180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¥4,590,000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¥426,870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-¥165,240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-¥450,360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-¥188,730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¥9,486,000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¥90,342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6"/>
                <w:szCs w:val="16"/>
              </w:rPr>
              <w:t xml:space="preserve">3年前半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140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280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¥7,140,000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¥664,020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-¥257,040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-¥300,560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¥106,420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¥16,626,000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¥196,762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1815"/>
                <w:sz w:val="16"/>
                <w:szCs w:val="16"/>
              </w:rPr>
              <w:t xml:space="preserve">3年後半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180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396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¥10,098,000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¥939,114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-¥363,528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-¥300,792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¥274,794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¥26,724,000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¥471,556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3年間 主要KPI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1年目末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2年目末</w:t>
            </w:r>
          </w:p>
        </w:tc>
        <w:tc>
          <w:tcPr>
            <w:tcW w:type="dxa" w:w="2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3年目末（累計）</w:t>
            </w:r>
          </w:p>
        </w:tc>
      </w:tr>
      <w:t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アクティブ出品者数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40人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100人</w:t>
            </w:r>
          </w:p>
        </w:tc>
        <w:tc>
          <w:tcPr>
            <w:tcW w:type="dxa" w:w="2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180人</w:t>
            </w:r>
          </w:p>
        </w:tc>
      </w:tr>
      <w:t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半期成約件数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56件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180件</w:t>
            </w:r>
          </w:p>
        </w:tc>
        <w:tc>
          <w:tcPr>
            <w:tcW w:type="dxa" w:w="2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396件</w:t>
            </w:r>
          </w:p>
        </w:tc>
      </w:tr>
      <w:t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累計GMV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¥2,040,000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¥9,486,000</w:t>
            </w:r>
          </w:p>
        </w:tc>
        <w:tc>
          <w:tcPr>
            <w:tcW w:type="dxa" w:w="2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¥26,724,000</w:t>
            </w:r>
          </w:p>
        </w:tc>
      </w:tr>
      <w:t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累計営業利益（Stripe+匿名配送コスト控除後）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¥116,280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¥90,342</w:t>
            </w:r>
          </w:p>
        </w:tc>
        <w:tc>
          <w:tcPr>
            <w:tcW w:type="dxa" w:w="2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¥471,556</w:t>
            </w:r>
          </w:p>
        </w:tc>
      </w:tr>
    </w:tbl>
    <w:p>
      <w:pPr>
        <w:spacing w:after="6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7C1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A3A"/>
          <w:sz w:val="36"/>
          <w:szCs w:val="36"/>
        </w:rPr>
        <w:t xml:space="preserve">4. 標準シナリオ — Standard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31815"/>
          <w:sz w:val="20"/>
          <w:szCs w:val="20"/>
        </w:rPr>
        <w:t xml:space="preserve">積極的なクリエイター勧誘＋ギャラリーへの早期展開でバランスよく成長するケース。月1〜2件の安定成約を想定。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前提条件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設定値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平均作品単価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¥25,500（低価格帯65%×¥15,000 + 高価格帯35%×¥45,000の加重平均）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加重平均手数料率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9.3%（10%×65% + 8%×35%）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Stripe手数料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3.6%（国内発行カード基準）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匿名配送利用率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成約件数の30%（Phase2導入後より適用）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匿名配送API導入時期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第3期（1年6ヶ月後）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人件費・開発費・固定費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¥0（本計画では除外。実際の事業計画には別途算入が必要）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成長戦略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ギャラリーへの早期展開（ローンチ後6ヶ月）でGMV底上げ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クリエイター向けセミナー・事例紹介で成約率を改善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匿名配送をPhase2（1.5年後）で導入し、高単価クリエイターを引き込む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半期別シミュレーション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700"/>
        <w:gridCol w:w="900"/>
        <w:gridCol w:w="900"/>
        <w:gridCol w:w="8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期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出品者数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成約件数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取引総額GMV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個展なび
収入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Stripe
手数料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匿名配送
コスト計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営業利益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累計GMV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累計利益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6"/>
                <w:szCs w:val="16"/>
              </w:rPr>
              <w:t xml:space="preserve">1年前半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40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60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¥1,530,000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¥142,290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-¥55,080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¥87,210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¥1,530,000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¥87,210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6"/>
                <w:szCs w:val="16"/>
              </w:rPr>
              <w:t xml:space="preserve">1年後半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90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162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¥4,131,000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¥384,183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-¥148,716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¥235,467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¥5,661,000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¥322,677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6"/>
                <w:szCs w:val="16"/>
              </w:rPr>
              <w:t xml:space="preserve">2年前半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150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330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¥8,415,000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¥782,595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-¥302,940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-¥450,990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¥28,665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¥14,076,000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¥351,342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6"/>
                <w:szCs w:val="16"/>
              </w:rPr>
              <w:t xml:space="preserve">2年後半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220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550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¥14,025,000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¥1,304,325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-¥504,900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-¥301,650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¥497,775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¥28,101,000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¥849,117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6"/>
                <w:szCs w:val="16"/>
              </w:rPr>
              <w:t xml:space="preserve">3年前半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300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840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¥21,420,000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¥1,992,060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-¥771,120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-¥302,520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¥918,420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¥49,521,000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¥1,767,537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1815"/>
                <w:sz w:val="16"/>
                <w:szCs w:val="16"/>
              </w:rPr>
              <w:t xml:space="preserve">3年後半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380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1,140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¥29,070,000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¥2,703,510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-¥1,046,520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-¥303,420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¥1,353,570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¥78,591,000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¥3,121,107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3年間 主要KPI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1年目末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2年目末</w:t>
            </w:r>
          </w:p>
        </w:tc>
        <w:tc>
          <w:tcPr>
            <w:tcW w:type="dxa" w:w="2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3年目末（累計）</w:t>
            </w:r>
          </w:p>
        </w:tc>
      </w:tr>
      <w:t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アクティブ出品者数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90人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220人</w:t>
            </w:r>
          </w:p>
        </w:tc>
        <w:tc>
          <w:tcPr>
            <w:tcW w:type="dxa" w:w="2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380人</w:t>
            </w:r>
          </w:p>
        </w:tc>
      </w:tr>
      <w:t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半期成約件数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162件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550件</w:t>
            </w:r>
          </w:p>
        </w:tc>
        <w:tc>
          <w:tcPr>
            <w:tcW w:type="dxa" w:w="2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1,140件</w:t>
            </w:r>
          </w:p>
        </w:tc>
      </w:tr>
      <w:t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累計GMV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¥5,661,000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¥28,101,000</w:t>
            </w:r>
          </w:p>
        </w:tc>
        <w:tc>
          <w:tcPr>
            <w:tcW w:type="dxa" w:w="2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¥78,591,000</w:t>
            </w:r>
          </w:p>
        </w:tc>
      </w:tr>
      <w:t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累計営業利益（Stripe+匿名配送コスト控除後）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¥322,677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¥849,117</w:t>
            </w:r>
          </w:p>
        </w:tc>
        <w:tc>
          <w:tcPr>
            <w:tcW w:type="dxa" w:w="2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¥3,121,107</w:t>
            </w:r>
          </w:p>
        </w:tc>
      </w:tr>
    </w:tbl>
    <w:p>
      <w:pPr>
        <w:spacing w:after="6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7C1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A3A"/>
          <w:sz w:val="36"/>
          <w:szCs w:val="36"/>
        </w:rPr>
        <w:t xml:space="preserve">5. 積極シナリオ — Aggressive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31815"/>
          <w:sz w:val="20"/>
          <w:szCs w:val="20"/>
        </w:rPr>
        <w:t xml:space="preserve">SNSマーケティング・インフルエンサー施策・ギャラリー連携を積極投入し、急速に出品者数を拡大するケース。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前提条件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設定値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平均作品単価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¥25,500（低価格帯65%×¥15,000 + 高価格帯35%×¥45,000の加重平均）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加重平均手数料率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9.3%（10%×65% + 8%×35%）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Stripe手数料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3.6%（国内発行カード基準）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匿名配送利用率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成約件数の40%（Phase2導入後より適用）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匿名配送API導入時期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第3期（1年6ヶ月後）</w:t>
            </w:r>
          </w:p>
        </w:tc>
      </w:tr>
      <w:tr>
        <w:tc>
          <w:tcPr>
            <w:tcW w:type="dxa" w:w="24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人件費・開発費・固定費</w:t>
            </w:r>
          </w:p>
        </w:tc>
        <w:tc>
          <w:tcPr>
            <w:tcW w:type="dxa" w:w="69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¥0（本計画では除外。実際の事業計画には別途算入が必要）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成長戦略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InstagramのリールとPaid広告でクリエイター認知を加速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主要ギャラリーとのパートナー契約でブランド信頼を獲得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匿名配送を早期（1.5年後）導入し、安心感で競合との差別化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半期別シミュレーション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700"/>
        <w:gridCol w:w="900"/>
        <w:gridCol w:w="900"/>
        <w:gridCol w:w="8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期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出品者数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成約件数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取引総額GMV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個展なび
収入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Stripe
手数料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匿名配送
コスト計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営業利益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累計GMV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累計利益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6"/>
                <w:szCs w:val="16"/>
              </w:rPr>
              <w:t xml:space="preserve">1年前半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80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144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¥3,672,000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¥341,496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-¥132,192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¥209,304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¥3,672,000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¥209,304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6"/>
                <w:szCs w:val="16"/>
              </w:rPr>
              <w:t xml:space="preserve">1年後半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200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440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¥11,220,000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¥1,043,460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-¥403,920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¥639,540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¥14,892,000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¥848,844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6"/>
                <w:szCs w:val="16"/>
              </w:rPr>
              <w:t xml:space="preserve">2年前半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350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980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¥24,990,000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¥2,324,070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-¥899,640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-¥453,920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¥970,510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¥39,882,000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¥1,819,354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6"/>
                <w:szCs w:val="16"/>
              </w:rPr>
              <w:t xml:space="preserve">2年後半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500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1,600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¥40,800,000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¥3,794,400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-¥1,468,800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-¥306,400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¥2,019,200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¥80,682,000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¥3,838,554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6"/>
                <w:szCs w:val="16"/>
              </w:rPr>
              <w:t xml:space="preserve">3年前半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680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2,448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¥62,424,000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¥5,805,432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-¥2,247,264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-¥309,792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¥3,248,376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¥143,106,000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¥7,086,930</w:t>
            </w:r>
          </w:p>
        </w:tc>
      </w:tr>
      <w:tr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1815"/>
                <w:sz w:val="16"/>
                <w:szCs w:val="16"/>
              </w:rPr>
              <w:t xml:space="preserve">3年後半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860</w:t>
            </w:r>
          </w:p>
        </w:tc>
        <w:tc>
          <w:tcPr>
            <w:tcW w:type="dxa" w:w="7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3,440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¥87,720,000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¥8,157,960</w:t>
            </w:r>
          </w:p>
        </w:tc>
        <w:tc>
          <w:tcPr>
            <w:tcW w:type="dxa" w:w="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-¥3,157,920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-¥313,760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¥4,686,280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¥230,826,000</w:t>
            </w:r>
          </w:p>
        </w:tc>
        <w:tc>
          <w:tcPr>
            <w:tcW w:type="dxa" w:w="9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¥11,773,210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3年間 主要KPI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1年目末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2年目末</w:t>
            </w:r>
          </w:p>
        </w:tc>
        <w:tc>
          <w:tcPr>
            <w:tcW w:type="dxa" w:w="2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3年目末（累計）</w:t>
            </w:r>
          </w:p>
        </w:tc>
      </w:tr>
      <w:t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アクティブ出品者数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200人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500人</w:t>
            </w:r>
          </w:p>
        </w:tc>
        <w:tc>
          <w:tcPr>
            <w:tcW w:type="dxa" w:w="2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860人</w:t>
            </w:r>
          </w:p>
        </w:tc>
      </w:tr>
      <w:t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半期成約件数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440件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1,600件</w:t>
            </w:r>
          </w:p>
        </w:tc>
        <w:tc>
          <w:tcPr>
            <w:tcW w:type="dxa" w:w="2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3,440件</w:t>
            </w:r>
          </w:p>
        </w:tc>
      </w:tr>
      <w:t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累計GMV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¥14,892,000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¥80,682,000</w:t>
            </w:r>
          </w:p>
        </w:tc>
        <w:tc>
          <w:tcPr>
            <w:tcW w:type="dxa" w:w="2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¥230,826,000</w:t>
            </w:r>
          </w:p>
        </w:tc>
      </w:tr>
      <w:tr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累計営業利益（Stripe+匿名配送コスト控除後）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¥848,844</w:t>
            </w:r>
          </w:p>
        </w:tc>
        <w:tc>
          <w:tcPr>
            <w:tcW w:type="dxa" w:w="2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¥3,838,554</w:t>
            </w:r>
          </w:p>
        </w:tc>
        <w:tc>
          <w:tcPr>
            <w:tcW w:type="dxa" w:w="27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¥11,773,210</w:t>
            </w:r>
          </w:p>
        </w:tc>
      </w:tr>
    </w:tbl>
    <w:p>
      <w:pPr>
        <w:spacing w:after="6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7C1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2A3A"/>
          <w:sz w:val="36"/>
          <w:szCs w:val="36"/>
        </w:rPr>
        <w:t xml:space="preserve">6. 戦略比較と推奨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6-1. シナリオ比較サマリー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30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シナリオ</w:t>
            </w:r>
          </w:p>
        </w:tc>
        <w:tc>
          <w:tcPr>
            <w:tcW w:type="dxa" w:w="15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3年累計GMV</w:t>
            </w:r>
          </w:p>
        </w:tc>
        <w:tc>
          <w:tcPr>
            <w:tcW w:type="dxa" w:w="15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3年累計利益</w:t>
            </w:r>
          </w:p>
        </w:tc>
        <w:tc>
          <w:tcPr>
            <w:tcW w:type="dxa" w:w="15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リスク</w:t>
            </w:r>
          </w:p>
        </w:tc>
        <w:tc>
          <w:tcPr>
            <w:tcW w:type="dxa" w:w="30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主要戦略</w:t>
            </w:r>
          </w:p>
        </w:tc>
      </w:tr>
      <w:tr>
        <w:tc>
          <w:tcPr>
            <w:tcW w:type="dxa" w:w="1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1815"/>
                <w:sz w:val="18"/>
                <w:szCs w:val="18"/>
              </w:rPr>
              <w:t xml:space="preserve">保守シナリオ</w:t>
            </w:r>
          </w:p>
        </w:tc>
        <w:tc>
          <w:tcPr>
            <w:tcW w:type="dxa" w:w="15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¥26,724,000</w:t>
            </w:r>
          </w:p>
        </w:tc>
        <w:tc>
          <w:tcPr>
            <w:tcW w:type="dxa" w:w="15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¥471,556</w:t>
            </w:r>
          </w:p>
        </w:tc>
        <w:tc>
          <w:tcPr>
            <w:tcW w:type="dxa" w:w="15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8"/>
                <w:szCs w:val="18"/>
              </w:rPr>
              <w:t xml:space="preserve">低</w:t>
            </w:r>
          </w:p>
        </w:tc>
        <w:tc>
          <w:tcPr>
            <w:tcW w:type="dxa" w:w="30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クリエイター向け丁寧なオンボーディングで初期離脱を防ぐ</w:t>
            </w:r>
          </w:p>
        </w:tc>
      </w:tr>
      <w:tr>
        <w:tc>
          <w:tcPr>
            <w:tcW w:type="dxa" w:w="1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1815"/>
                <w:sz w:val="18"/>
                <w:szCs w:val="18"/>
              </w:rPr>
              <w:t xml:space="preserve">標準シナリオ</w:t>
            </w:r>
          </w:p>
        </w:tc>
        <w:tc>
          <w:tcPr>
            <w:tcW w:type="dxa" w:w="15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¥78,591,000</w:t>
            </w:r>
          </w:p>
        </w:tc>
        <w:tc>
          <w:tcPr>
            <w:tcW w:type="dxa" w:w="15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¥3,121,107</w:t>
            </w:r>
          </w:p>
        </w:tc>
        <w:tc>
          <w:tcPr>
            <w:tcW w:type="dxa" w:w="15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7C10"/>
                <w:sz w:val="18"/>
                <w:szCs w:val="18"/>
              </w:rPr>
              <w:t xml:space="preserve">中</w:t>
            </w:r>
          </w:p>
        </w:tc>
        <w:tc>
          <w:tcPr>
            <w:tcW w:type="dxa" w:w="30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ギャラリーへの早期展開（ローンチ後6ヶ月）でGMV底上げ</w:t>
            </w:r>
          </w:p>
        </w:tc>
      </w:tr>
      <w:tr>
        <w:tc>
          <w:tcPr>
            <w:tcW w:type="dxa" w:w="1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1815"/>
                <w:sz w:val="18"/>
                <w:szCs w:val="18"/>
              </w:rPr>
              <w:t xml:space="preserve">積極シナリオ</w:t>
            </w:r>
          </w:p>
        </w:tc>
        <w:tc>
          <w:tcPr>
            <w:tcW w:type="dxa" w:w="15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¥230,826,000</w:t>
            </w:r>
          </w:p>
        </w:tc>
        <w:tc>
          <w:tcPr>
            <w:tcW w:type="dxa" w:w="15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7FD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17"/>
                <w:szCs w:val="17"/>
              </w:rPr>
              <w:t xml:space="preserve">¥11,773,210</w:t>
            </w:r>
          </w:p>
        </w:tc>
        <w:tc>
          <w:tcPr>
            <w:tcW w:type="dxa" w:w="15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高</w:t>
            </w:r>
          </w:p>
        </w:tc>
        <w:tc>
          <w:tcPr>
            <w:tcW w:type="dxa" w:w="306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7"/>
                <w:szCs w:val="17"/>
              </w:rPr>
              <w:t xml:space="preserve">InstagramのリールとPaid広告でクリエイター認知を加速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6-2. 推奨戦略</w:t>
      </w:r>
    </w:p>
    <w:p>
      <w:pPr>
        <w:pBdr>
          <w:left w:val="single" w:color="B87C10" w:sz="14" w:space="8"/>
        </w:pBdr>
        <w:shd w:fill="FDF6E3" w:val="clear"/>
        <w:spacing w:after="100" w:before="100"/>
        <w:ind w:left="20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初期は「標準シナリオ」を基準に運営し、四半期ごとに指標を評価。出品者数・成約率が計画を20%以上上回る場合は積極シナリオへ引き上げ、逆に下回る場合は保守シナリオのコスト管理を適用する「アダプティブ運営」を推奨します。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6-3. 匿名配送API 導入判断基準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231815"/>
          <w:sz w:val="20"/>
          <w:szCs w:val="20"/>
        </w:rPr>
        <w:t xml:space="preserve">匿名配送APIは高コストのため、以下の条件を満たしてから導入を推奨します。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月次営業利益（Stripe控除後）が安定して¥200,000以上を3ヶ月継続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成約件数が月50件以上（匿名配送ニーズが収益を上回るラインの目安）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クリエイターへのアンケートで匿名配送ニーズが60%以上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6-4. リスクと対策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800"/>
        <w:gridCol w:w="3180"/>
        <w:gridCol w:w="3180"/>
      </w:tblGrid>
      <w:tr>
        <w:trPr>
          <w:tblHeader/>
        </w:trPr>
        <w:tc>
          <w:tcPr>
            <w:tcW w:type="dxa" w:w="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リスク</w:t>
            </w:r>
          </w:p>
        </w:tc>
        <w:tc>
          <w:tcPr>
            <w:tcW w:type="dxa" w:w="318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影響</w:t>
            </w:r>
          </w:p>
        </w:tc>
        <w:tc>
          <w:tcPr>
            <w:tcW w:type="dxa" w:w="318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1A2A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対策</w:t>
            </w:r>
          </w:p>
        </w:tc>
      </w:tr>
      <w:tr>
        <w:tc>
          <w:tcPr>
            <w:tcW w:type="dxa" w:w="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成約率の低迷（購入申込→成約が低い）</w:t>
            </w:r>
          </w:p>
        </w:tc>
        <w:tc>
          <w:tcPr>
            <w:tcW w:type="dxa" w:w="318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GMV・収益が計画を大きく下回る</w:t>
            </w:r>
          </w:p>
        </w:tc>
        <w:tc>
          <w:tcPr>
            <w:tcW w:type="dxa" w:w="318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キュー管理UXの改善・クリエイターへの在庫確認フロー簡略化</w:t>
            </w:r>
          </w:p>
        </w:tc>
      </w:tr>
      <w:tr>
        <w:tc>
          <w:tcPr>
            <w:tcW w:type="dxa" w:w="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匿名配送コストの想定超過</w:t>
            </w:r>
          </w:p>
        </w:tc>
        <w:tc>
          <w:tcPr>
            <w:tcW w:type="dxa" w:w="318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運用費が収益を圧迫（月50,000円固定）</w:t>
            </w:r>
          </w:p>
        </w:tc>
        <w:tc>
          <w:tcPr>
            <w:tcW w:type="dxa" w:w="318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導入基準を厳守。初期は非匿名配送でサービス検証を先行</w:t>
            </w:r>
          </w:p>
        </w:tc>
      </w:tr>
      <w:tr>
        <w:tc>
          <w:tcPr>
            <w:tcW w:type="dxa" w:w="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Stripe手数料の改定（値上げ）</w:t>
            </w:r>
          </w:p>
        </w:tc>
        <w:tc>
          <w:tcPr>
            <w:tcW w:type="dxa" w:w="318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実質マージンが圧縮される</w:t>
            </w:r>
          </w:p>
        </w:tc>
        <w:tc>
          <w:tcPr>
            <w:tcW w:type="dxa" w:w="318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契約条件のモニタリング。必要に応じて手数料体系を見直し</w:t>
            </w:r>
          </w:p>
        </w:tc>
      </w:tr>
      <w:tr>
        <w:tc>
          <w:tcPr>
            <w:tcW w:type="dxa" w:w="2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競合（minne等）の参入・手数料引き下げ</w:t>
            </w:r>
          </w:p>
        </w:tc>
        <w:tc>
          <w:tcPr>
            <w:tcW w:type="dxa" w:w="318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出品者獲得コストの増加・離脱リスク</w:t>
            </w:r>
          </w:p>
        </w:tc>
        <w:tc>
          <w:tcPr>
            <w:tcW w:type="dxa" w:w="3180"/>
            <w:gridSpan w:val="1"/>
            <w:tcBorders>
              <w:top w:val="single" w:color="D0DAE4" w:sz="1"/>
              <w:left w:val="single" w:color="D0DAE4" w:sz="1"/>
              <w:bottom w:val="single" w:color="D0DAE4" w:sz="1"/>
              <w:right w:val="single" w:color="D0DA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815"/>
                <w:sz w:val="18"/>
                <w:szCs w:val="18"/>
              </w:rPr>
              <w:t xml:space="preserve">展覧会連動という独自価値を訴求。Phase2の6%帯で高額作品層を先取り</w:t>
            </w:r>
          </w:p>
        </w:tc>
      </w:tr>
    </w:tbl>
    <w:p>
      <w:pPr>
        <w:spacing w:after="6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6-5. 次のアクション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クリエイター向けβテスト（出品者10〜20名）でUX・成約フローを検証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ギャラリーユーザーへのヒアリング実施（展覧会連動のニーズ確認）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匿名配送APIベンダーとの仮契約交渉（初期費用の上限交渉）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Stripe Connectの設定・振込フロー実装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P70-7「手数料について」ページを公開してクリエイターへ周知</w:t>
      </w:r>
    </w:p>
    <w:p>
      <w:pPr>
        <w:spacing w:after="60" w:before="120"/>
      </w:pPr>
      <w:r>
        <w:t xml:space="preserve"/>
      </w:r>
    </w:p>
    <w:p>
      <w:pPr>
        <w:pBdr>
          <w:left w:val="single" w:color="005DA7" w:sz="14" w:space="8"/>
        </w:pBdr>
        <w:shd w:fill="E8F2FA" w:val="clear"/>
        <w:spacing w:after="100" w:before="100"/>
        <w:ind w:left="200"/>
      </w:pPr>
      <w:r>
        <w:rPr>
          <w:rFonts w:ascii="Arial" w:cs="Arial" w:eastAsia="Arial" w:hAnsi="Arial"/>
          <w:color w:val="231815"/>
          <w:sz w:val="19"/>
          <w:szCs w:val="19"/>
        </w:rPr>
        <w:t xml:space="preserve">本ビジネスプランは人件費・開発費・マーケティング費を含まない収益試算です。実際の損益分岐点算出には、これらの固定費を別途算入の上で再試算を行ってください。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AE4" w:sz="2" w:space="4"/>
      </w:pBdr>
      <w:spacing w:after="0" w:before="80"/>
      <w:jc w:val="right"/>
    </w:pPr>
    <w:r>
      <w:rPr>
        <w:rFonts w:ascii="Arial" w:cs="Arial" w:eastAsia="Arial" w:hAnsi="Arial"/>
        <w:color w:val="7A8A99"/>
        <w:sz w:val="16"/>
        <w:szCs w:val="16"/>
      </w:rPr>
      <w:t xml:space="preserve">- </w:t>
    </w:r>
    <w:r>
      <w:rPr>
        <w:rFonts w:ascii="Arial" w:cs="Arial" w:eastAsia="Arial" w:hAnsi="Arial"/>
        <w:color w:val="7A8A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8A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7C10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7A8A99"/>
        <w:sz w:val="16"/>
        <w:szCs w:val="16"/>
      </w:rPr>
      <w:t xml:space="preserve">LIAISON+  Business Plan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A8A99"/>
        <w:sz w:val="16"/>
        <w:szCs w:val="16"/>
      </w:rPr>
      <w:t xml:space="preserve">個展なびリデザインプロジェクト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2A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2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2026-04-25T09:20:20.779Z</dcterms:created>
  <dcterms:modified xsi:type="dcterms:W3CDTF">2026-04-25T09:20:20.780Z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