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before="0"/>
        <w:jc w:val="center"/>
      </w:pPr>
      <w:r>
        <w:rPr>
          <w:rFonts w:ascii="Arial" w:cs="Arial" w:eastAsia="Arial" w:hAnsi="Arial"/>
          <w:b/>
          <w:bCs/>
          <w:color w:val="B87C10"/>
          <w:sz w:val="60"/>
          <w:szCs w:val="60"/>
        </w:rPr>
        <w:t xml:space="preserve">LIAISON+</w:t>
      </w:r>
    </w:p>
    <w:p>
      <w:pPr>
        <w:spacing w:after="260" w:before="0"/>
        <w:jc w:val="center"/>
      </w:pPr>
      <w:r>
        <w:rPr>
          <w:rFonts w:ascii="Arial" w:cs="Arial" w:eastAsia="Arial" w:hAnsi="Arial"/>
          <w:color w:val="7A8A99"/>
          <w:sz w:val="38"/>
          <w:szCs w:val="38"/>
        </w:rPr>
        <w:t xml:space="preserve">Business Plan  Ver.2</w:t>
      </w:r>
    </w:p>
    <w:p>
      <w:pPr>
        <w:pBdr>
          <w:top w:val="single" w:color="B87C10" w:sz="4" w:space="4"/>
          <w:bottom w:val="single" w:color="B87C10" w:sz="4" w:space="4"/>
        </w:pBdr>
        <w:spacing w:after="80" w:before="80"/>
        <w:jc w:val="center"/>
      </w:pPr>
      <w:r>
        <w:rPr>
          <w:rFonts w:ascii="Arial" w:cs="Arial" w:eastAsia="Arial" w:hAnsi="Arial"/>
          <w:b/>
          <w:bCs/>
          <w:color w:val="1A2A3A"/>
          <w:sz w:val="32"/>
          <w:szCs w:val="32"/>
        </w:rPr>
        <w:t xml:space="preserve">リエゾンプラス サービス事業計画書</w:t>
      </w:r>
    </w:p>
    <w:p>
      <w:pPr>
        <w:spacing w:after="60" w:before="220"/>
        <w:jc w:val="center"/>
      </w:pPr>
      <w:r>
        <w:rPr>
          <w:rFonts w:ascii="Arial" w:cs="Arial" w:eastAsia="Arial" w:hAnsi="Arial"/>
          <w:color w:val="7A8A99"/>
          <w:sz w:val="22"/>
          <w:szCs w:val="22"/>
        </w:rPr>
        <w:t xml:space="preserve">個展なびリデザインプロジェクト</w:t>
      </w:r>
    </w:p>
    <w:p>
      <w:pPr>
        <w:spacing w:after="60" w:before="60"/>
        <w:jc w:val="center"/>
      </w:pPr>
      <w:r>
        <w:rPr>
          <w:rFonts w:ascii="Arial" w:cs="Arial" w:eastAsia="Arial" w:hAnsi="Arial"/>
          <w:color w:val="7A8A99"/>
          <w:sz w:val="22"/>
          <w:szCs w:val="22"/>
        </w:rPr>
        <w:t xml:space="preserve">3年間 半期別シミュレーション（保守・標準・積極）</w:t>
      </w:r>
    </w:p>
    <w:p>
      <w:pPr>
        <w:spacing w:after="2200" w:before="80"/>
        <w:jc w:val="center"/>
      </w:pPr>
      <w:r>
        <w:rPr>
          <w:rFonts w:ascii="Arial" w:cs="Arial" w:eastAsia="Arial" w:hAnsi="Arial"/>
          <w:color w:val="B87C10"/>
          <w:sz w:val="20"/>
          <w:szCs w:val="20"/>
        </w:rPr>
        <w:t xml:space="preserve">母集団：月200件以上の展覧会掲載実績より逆算</w:t>
      </w:r>
    </w:p>
    <w:p>
      <w:r>
        <w:br w:type="page"/>
      </w:r>
    </w:p>
    <w:p>
      <w:pPr>
        <w:pStyle w:val="Heading1"/>
        <w:pBdr>
          <w:bottom w:val="single" w:color="B87C10" w:sz="8" w:space="4"/>
        </w:pBdr>
        <w:spacing w:after="160" w:before="400"/>
      </w:pPr>
      <w:r>
        <w:rPr>
          <w:rFonts w:ascii="Arial" w:cs="Arial" w:eastAsia="Arial" w:hAnsi="Arial"/>
          <w:b/>
          <w:bCs/>
          <w:color w:val="1A2A3A"/>
          <w:sz w:val="36"/>
          <w:szCs w:val="36"/>
        </w:rPr>
        <w:t xml:space="preserve">1. エグゼクティブサマリー</w:t>
      </w:r>
    </w:p>
    <w:p>
      <w:pPr>
        <w:pStyle w:val="Heading2"/>
        <w:spacing w:after="100" w:before="300"/>
      </w:pPr>
      <w:r>
        <w:rPr>
          <w:rFonts w:ascii="Arial" w:cs="Arial" w:eastAsia="Arial" w:hAnsi="Arial"/>
          <w:b/>
          <w:bCs/>
          <w:color w:val="1A2A3A"/>
          <w:sz w:val="26"/>
          <w:szCs w:val="26"/>
        </w:rPr>
        <w:t xml:space="preserve">1-1. サービス概要</w:t>
      </w:r>
    </w:p>
    <w:p>
      <w:pPr>
        <w:spacing w:after="60" w:before="60"/>
        <w:jc w:val="left"/>
      </w:pPr>
      <w:r>
        <w:rPr>
          <w:rFonts w:ascii="Arial" w:cs="Arial" w:eastAsia="Arial" w:hAnsi="Arial"/>
          <w:b w:val="false"/>
          <w:bCs w:val="false"/>
          <w:color w:val="231815"/>
          <w:sz w:val="20"/>
          <w:szCs w:val="20"/>
        </w:rPr>
        <w:t xml:space="preserve">LIAISON+（リエゾンプラス）は、個展なびが提供する実スペース展覧会連動型のオンライン作品販売サービスです。展覧会の会期の短さや来場の地理的制約による「機会ロス」を補完することを目的とし、クリエイター・ギャラリー双方が無料で展示し、成約時のみ手数料が発生するモデルです。</w:t>
      </w:r>
    </w:p>
    <w:p>
      <w:pPr>
        <w:spacing w:after="60" w:before="80"/>
      </w:pPr>
      <w:r>
        <w:t xml:space="preserve"/>
      </w:r>
    </w:p>
    <w:p>
      <w:pPr>
        <w:pStyle w:val="Heading2"/>
        <w:spacing w:after="100" w:before="300"/>
      </w:pPr>
      <w:r>
        <w:rPr>
          <w:rFonts w:ascii="Arial" w:cs="Arial" w:eastAsia="Arial" w:hAnsi="Arial"/>
          <w:b/>
          <w:bCs/>
          <w:color w:val="1A2A3A"/>
          <w:sz w:val="26"/>
          <w:szCs w:val="26"/>
        </w:rPr>
        <w:t xml:space="preserve">1-2. 試算の母集団と前提</w:t>
      </w:r>
    </w:p>
    <w:p>
      <w:pPr>
        <w:pBdr>
          <w:left w:val="single" w:color="005DA7" w:sz="14" w:space="8"/>
        </w:pBdr>
        <w:shd w:fill="E8F2FA" w:val="clear"/>
        <w:spacing w:after="100" w:before="100"/>
        <w:ind w:left="200"/>
      </w:pPr>
      <w:r>
        <w:rPr>
          <w:rFonts w:ascii="Arial" w:cs="Arial" w:eastAsia="Arial" w:hAnsi="Arial"/>
          <w:color w:val="231815"/>
          <w:sz w:val="19"/>
          <w:szCs w:val="19"/>
        </w:rPr>
        <w:t xml:space="preserve">本計画の試算数値は、個展なびの展覧会掲載実績（200件以上/月）を起点に逆算した根拠ある推計値です。前回版（Ver.1）の感覚値とは異なります。</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前提項目</w:t>
            </w:r>
          </w:p>
        </w:tc>
        <w:tc>
          <w:tcPr>
            <w:tcW w:type="dxa" w:w="63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設定値と根拠</w:t>
            </w:r>
          </w:p>
        </w:tc>
      </w:tr>
      <w:tr>
        <w:tc>
          <w:tcPr>
            <w:tcW w:type="dxa" w:w="3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母集団（年間展覧会出展者）</w:t>
            </w:r>
          </w:p>
        </w:tc>
        <w:tc>
          <w:tcPr>
            <w:tcW w:type="dxa" w:w="63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800人（クリエイター600人・ギャラリー200人）
逆算根拠：月200件 × 12ヶ月 ÷ 加重平均開催頻度3回/年（C:2回・G:6回、比率3:1）</w:t>
            </w:r>
          </w:p>
        </w:tc>
      </w:tr>
      <w:tr>
        <w:tc>
          <w:tcPr>
            <w:tcW w:type="dxa" w:w="3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申込率シナリオ（3年目末）</w:t>
            </w:r>
          </w:p>
        </w:tc>
        <w:tc>
          <w:tcPr>
            <w:tcW w:type="dxa" w:w="63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保守16% ／ 標準32% ／ 積極55%（母集団800人に対する割合）</w:t>
            </w:r>
          </w:p>
        </w:tc>
      </w:tr>
      <w:tr>
        <w:tc>
          <w:tcPr>
            <w:tcW w:type="dxa" w:w="3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成約件数の算出</w:t>
            </w:r>
          </w:p>
        </w:tc>
        <w:tc>
          <w:tcPr>
            <w:tcW w:type="dxa" w:w="63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クリエイター：半期1回展覧会×平均申込2件×成約率
ギャラリー　：半期3回展覧会×平均申込3件×成約率
成約率：保守55% ／ 標準60% ／ 積極65%</w:t>
            </w:r>
          </w:p>
        </w:tc>
      </w:tr>
      <w:tr>
        <w:tc>
          <w:tcPr>
            <w:tcW w:type="dxa" w:w="3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加重平均単価</w:t>
            </w:r>
          </w:p>
        </w:tc>
        <w:tc>
          <w:tcPr>
            <w:tcW w:type="dxa" w:w="63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¥57,100（低価格帯45%×¥18k + 中価格帯40%×¥55k + 高価格帯15%×¥180k）
バランス型：低・中・高価格帯をすべて含む想定</w:t>
            </w:r>
          </w:p>
        </w:tc>
      </w:tr>
      <w:tr>
        <w:tc>
          <w:tcPr>
            <w:tcW w:type="dxa" w:w="3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加重平均手数料率</w:t>
            </w:r>
          </w:p>
        </w:tc>
        <w:tc>
          <w:tcPr>
            <w:tcW w:type="dxa" w:w="63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8.90%（10%×45% + 8%×55%）　Stripe控除後実質マージン：5.30%</w:t>
            </w:r>
          </w:p>
        </w:tc>
      </w:tr>
      <w:tr>
        <w:tc>
          <w:tcPr>
            <w:tcW w:type="dxa" w:w="3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匿名配送API</w:t>
            </w:r>
          </w:p>
        </w:tc>
        <w:tc>
          <w:tcPr>
            <w:tcW w:type="dxa" w:w="63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初期費用¥150,000 ／ 運用費¥50,000/月 ／ 利用料¥10/件（成約件数×利用率に適用）</w:t>
            </w:r>
          </w:p>
        </w:tc>
      </w:tr>
      <w:tr>
        <w:tc>
          <w:tcPr>
            <w:tcW w:type="dxa" w:w="3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除外コスト</w:t>
            </w:r>
          </w:p>
        </w:tc>
        <w:tc>
          <w:tcPr>
            <w:tcW w:type="dxa" w:w="63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C0392B"/>
                <w:sz w:val="17"/>
                <w:szCs w:val="17"/>
              </w:rPr>
              <w:t xml:space="preserve">人件費・開発費・サーバー費・マーケティング費 → ¥0（本計画では除外。実際の損益には別途算入が必要）</w:t>
            </w:r>
          </w:p>
        </w:tc>
      </w:tr>
    </w:tbl>
    <w:p>
      <w:pPr>
        <w:spacing w:after="60" w:before="120"/>
      </w:pPr>
      <w:r>
        <w:t xml:space="preserve"/>
      </w:r>
    </w:p>
    <w:p>
      <w:pPr>
        <w:pStyle w:val="Heading2"/>
        <w:spacing w:after="100" w:before="300"/>
      </w:pPr>
      <w:r>
        <w:rPr>
          <w:rFonts w:ascii="Arial" w:cs="Arial" w:eastAsia="Arial" w:hAnsi="Arial"/>
          <w:b/>
          <w:bCs/>
          <w:color w:val="1A2A3A"/>
          <w:sz w:val="26"/>
          <w:szCs w:val="26"/>
        </w:rPr>
        <w:t xml:space="preserve">1-3. 3年間シミュレーション サマリー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200"/>
        <w:gridCol w:w="1200"/>
        <w:gridCol w:w="1200"/>
        <w:gridCol w:w="1200"/>
        <w:gridCol w:w="1800"/>
      </w:tblGrid>
      <w:tr>
        <w:trPr>
          <w:tblHeader/>
        </w:trPr>
        <w:tc>
          <w:tcPr>
            <w:tcW w:type="dxa" w:w="1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シナリオ</w:t>
            </w:r>
          </w:p>
        </w:tc>
        <w:tc>
          <w:tcPr>
            <w:tcW w:type="dxa" w:w="12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3年累計GMV</w:t>
            </w:r>
          </w:p>
        </w:tc>
        <w:tc>
          <w:tcPr>
            <w:tcW w:type="dxa" w:w="12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
個展なび収入</w:t>
            </w:r>
          </w:p>
        </w:tc>
        <w:tc>
          <w:tcPr>
            <w:tcW w:type="dxa" w:w="12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
Stripe手数料</w:t>
            </w:r>
          </w:p>
        </w:tc>
        <w:tc>
          <w:tcPr>
            <w:tcW w:type="dxa" w:w="12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
匿名配送コスト</w:t>
            </w:r>
          </w:p>
        </w:tc>
        <w:tc>
          <w:tcPr>
            <w:tcW w:type="dxa" w:w="12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
営業利益</w:t>
            </w:r>
          </w:p>
        </w:tc>
        <w:tc>
          <w:tcPr>
            <w:tcW w:type="dxa" w:w="18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匿名配送
導入時期</w:t>
            </w:r>
          </w:p>
        </w:tc>
      </w:tr>
      <w:tr>
        <w:tc>
          <w:tcPr>
            <w:tcW w:type="dxa" w:w="1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1A2A3A"/>
                <w:sz w:val="18"/>
                <w:szCs w:val="18"/>
              </w:rPr>
              <w:t xml:space="preserve">保守シナリオ</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¥51,447,100</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¥4,578,794</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-¥1,852,095</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-¥1,051,288</w:t>
            </w:r>
          </w:p>
        </w:tc>
        <w:tc>
          <w:tcPr>
            <w:tcW w:type="dxa" w:w="120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¥1,675,411</w:t>
            </w:r>
          </w:p>
        </w:tc>
        <w:tc>
          <w:tcPr>
            <w:tcW w:type="dxa" w:w="1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7"/>
                <w:szCs w:val="17"/>
              </w:rPr>
              <w:t xml:space="preserve">第4期（2年後）</w:t>
            </w:r>
          </w:p>
        </w:tc>
      </w:tr>
      <w:tr>
        <w:tc>
          <w:tcPr>
            <w:tcW w:type="dxa" w:w="1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1A2A3A"/>
                <w:sz w:val="18"/>
                <w:szCs w:val="18"/>
              </w:rPr>
              <w:t xml:space="preserve">標準シナリオ</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¥120,252,600</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¥10,702,479</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-¥4,329,096</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-¥1,355,292</w:t>
            </w:r>
          </w:p>
        </w:tc>
        <w:tc>
          <w:tcPr>
            <w:tcW w:type="dxa" w:w="120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¥5,018,091</w:t>
            </w:r>
          </w:p>
        </w:tc>
        <w:tc>
          <w:tcPr>
            <w:tcW w:type="dxa" w:w="1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7"/>
                <w:szCs w:val="17"/>
              </w:rPr>
              <w:t xml:space="preserve">第3期（1年6ヶ月後）</w:t>
            </w:r>
          </w:p>
        </w:tc>
      </w:tr>
      <w:tr>
        <w:tc>
          <w:tcPr>
            <w:tcW w:type="dxa" w:w="1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1A2A3A"/>
                <w:sz w:val="18"/>
                <w:szCs w:val="18"/>
              </w:rPr>
              <w:t xml:space="preserve">積極シナリオ</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¥228,342,900</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¥20,322,519</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-¥8,220,344</w:t>
            </w:r>
          </w:p>
        </w:tc>
        <w:tc>
          <w:tcPr>
            <w:tcW w:type="dxa" w:w="12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-¥1,363,264</w:t>
            </w:r>
          </w:p>
        </w:tc>
        <w:tc>
          <w:tcPr>
            <w:tcW w:type="dxa" w:w="120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¥10,738,911</w:t>
            </w:r>
          </w:p>
        </w:tc>
        <w:tc>
          <w:tcPr>
            <w:tcW w:type="dxa" w:w="1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7"/>
                <w:szCs w:val="17"/>
              </w:rPr>
              <w:t xml:space="preserve">第3期（1年6ヶ月後）</w:t>
            </w:r>
          </w:p>
        </w:tc>
      </w:tr>
    </w:tbl>
    <w:p>
      <w:pPr>
        <w:spacing w:after="60" w:before="120"/>
      </w:pPr>
      <w:r>
        <w:t xml:space="preserve"/>
      </w:r>
    </w:p>
    <w:p>
      <w:pPr>
        <w:pBdr>
          <w:left w:val="single" w:color="7A8A99" w:sz="14" w:space="8"/>
        </w:pBdr>
        <w:shd w:fill="F0F4F8" w:val="clear"/>
        <w:spacing w:after="100" w:before="100"/>
        <w:ind w:left="200"/>
      </w:pPr>
      <w:r>
        <w:rPr>
          <w:rFonts w:ascii="Arial" w:cs="Arial" w:eastAsia="Arial" w:hAnsi="Arial"/>
          <w:color w:val="231815"/>
          <w:sz w:val="19"/>
          <w:szCs w:val="19"/>
        </w:rPr>
        <w:t xml:space="preserve">※ 営業利益＝個展なび収入 − Stripe手数料 − 匿名配送コスト。人件費・開発費・マーケティング費等は含みません。</w:t>
      </w:r>
    </w:p>
    <w:p>
      <w:r>
        <w:br w:type="page"/>
      </w:r>
    </w:p>
    <w:p>
      <w:pPr>
        <w:pStyle w:val="Heading1"/>
        <w:pBdr>
          <w:bottom w:val="single" w:color="B87C10" w:sz="8" w:space="4"/>
        </w:pBdr>
        <w:spacing w:after="160" w:before="400"/>
      </w:pPr>
      <w:r>
        <w:rPr>
          <w:rFonts w:ascii="Arial" w:cs="Arial" w:eastAsia="Arial" w:hAnsi="Arial"/>
          <w:b/>
          <w:bCs/>
          <w:color w:val="1A2A3A"/>
          <w:sz w:val="36"/>
          <w:szCs w:val="36"/>
        </w:rPr>
        <w:t xml:space="preserve">2. 手数料体系と収益構造</w:t>
      </w:r>
    </w:p>
    <w:p>
      <w:pPr>
        <w:pStyle w:val="Heading2"/>
        <w:spacing w:after="100" w:before="300"/>
      </w:pPr>
      <w:r>
        <w:rPr>
          <w:rFonts w:ascii="Arial" w:cs="Arial" w:eastAsia="Arial" w:hAnsi="Arial"/>
          <w:b/>
          <w:bCs/>
          <w:color w:val="1A2A3A"/>
          <w:sz w:val="26"/>
          <w:szCs w:val="26"/>
        </w:rPr>
        <w:t xml:space="preserve">2-1. 手数料設計（Phase 1 ローンチ時）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3460"/>
      </w:tblGrid>
      <w:tr>
        <w:trPr>
          <w:tblHeader/>
        </w:trPr>
        <w:tc>
          <w:tcPr>
            <w:tcW w:type="dxa" w:w="20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価格帯</w:t>
            </w:r>
          </w:p>
        </w:tc>
        <w:tc>
          <w:tcPr>
            <w:tcW w:type="dxa" w:w="13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手数料率</w:t>
            </w:r>
          </w:p>
        </w:tc>
        <w:tc>
          <w:tcPr>
            <w:tcW w:type="dxa" w:w="13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Stripe手数料</w:t>
            </w:r>
          </w:p>
        </w:tc>
        <w:tc>
          <w:tcPr>
            <w:tcW w:type="dxa" w:w="13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実質マージン</w:t>
            </w:r>
          </w:p>
        </w:tc>
        <w:tc>
          <w:tcPr>
            <w:tcW w:type="dxa" w:w="34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対象</w:t>
            </w:r>
          </w:p>
        </w:tc>
      </w:tr>
      <w:tr>
        <w:tc>
          <w:tcPr>
            <w:tcW w:type="dxa" w:w="2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 29,999円（低価格帯）</w:t>
            </w:r>
          </w:p>
        </w:tc>
        <w:tc>
          <w:tcPr>
            <w:tcW w:type="dxa" w:w="1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10%</w:t>
            </w:r>
          </w:p>
        </w:tc>
        <w:tc>
          <w:tcPr>
            <w:tcW w:type="dxa" w:w="1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約3.6%</w:t>
            </w:r>
          </w:p>
        </w:tc>
        <w:tc>
          <w:tcPr>
            <w:tcW w:type="dxa" w:w="1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約6.4%</w:t>
            </w:r>
          </w:p>
        </w:tc>
        <w:tc>
          <w:tcPr>
            <w:tcW w:type="dxa" w:w="34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クリエイター・ギャラリー共通</w:t>
            </w:r>
          </w:p>
        </w:tc>
      </w:tr>
      <w:tr>
        <w:tc>
          <w:tcPr>
            <w:tcW w:type="dxa" w:w="2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30,000円〜（中〜高価格帯）</w:t>
            </w:r>
          </w:p>
        </w:tc>
        <w:tc>
          <w:tcPr>
            <w:tcW w:type="dxa" w:w="1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8%</w:t>
            </w:r>
          </w:p>
        </w:tc>
        <w:tc>
          <w:tcPr>
            <w:tcW w:type="dxa" w:w="1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約3.6%</w:t>
            </w:r>
          </w:p>
        </w:tc>
        <w:tc>
          <w:tcPr>
            <w:tcW w:type="dxa" w:w="1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約4.4%</w:t>
            </w:r>
          </w:p>
        </w:tc>
        <w:tc>
          <w:tcPr>
            <w:tcW w:type="dxa" w:w="34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クリエイター・ギャラリー共通</w:t>
            </w:r>
          </w:p>
        </w:tc>
      </w:tr>
    </w:tbl>
    <w:p>
      <w:pPr>
        <w:spacing w:after="60" w:before="80"/>
      </w:pPr>
      <w:r>
        <w:t xml:space="preserve"/>
      </w:r>
    </w:p>
    <w:p>
      <w:pPr>
        <w:pBdr>
          <w:left w:val="single" w:color="B87C10" w:sz="14" w:space="8"/>
        </w:pBdr>
        <w:shd w:fill="FDF6E3" w:val="clear"/>
        <w:spacing w:after="100" w:before="100"/>
        <w:ind w:left="200"/>
      </w:pPr>
      <w:r>
        <w:rPr>
          <w:rFonts w:ascii="Arial" w:cs="Arial" w:eastAsia="Arial" w:hAnsi="Arial"/>
          <w:color w:val="231815"/>
          <w:sz w:val="19"/>
          <w:szCs w:val="19"/>
        </w:rPr>
        <w:t xml:space="preserve">加重平均単価¥57,100 / 加重平均手数料率8.90% / 実質マージン（Stripe控除後）5.30%　— バランス型単価（低・中・高価格帯混在）で試算</w:t>
      </w:r>
    </w:p>
    <w:p>
      <w:pPr>
        <w:spacing w:after="60" w:before="120"/>
      </w:pPr>
      <w:r>
        <w:t xml:space="preserve"/>
      </w:r>
    </w:p>
    <w:p>
      <w:pPr>
        <w:pStyle w:val="Heading2"/>
        <w:spacing w:after="100" w:before="300"/>
      </w:pPr>
      <w:r>
        <w:rPr>
          <w:rFonts w:ascii="Arial" w:cs="Arial" w:eastAsia="Arial" w:hAnsi="Arial"/>
          <w:b/>
          <w:bCs/>
          <w:color w:val="1A2A3A"/>
          <w:sz w:val="26"/>
          <w:szCs w:val="26"/>
        </w:rPr>
        <w:t xml:space="preserve">2-2. フェーズロードマップ（手数料は「下げる方向」のみ変更）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1600"/>
        <w:gridCol w:w="3660"/>
      </w:tblGrid>
      <w:tr>
        <w:trPr>
          <w:tblHeader/>
        </w:trPr>
        <w:tc>
          <w:tcPr>
            <w:tcW w:type="dxa" w:w="9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Phase</w:t>
            </w:r>
          </w:p>
        </w:tc>
        <w:tc>
          <w:tcPr>
            <w:tcW w:type="dxa" w:w="16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〜29,999円</w:t>
            </w:r>
          </w:p>
        </w:tc>
        <w:tc>
          <w:tcPr>
            <w:tcW w:type="dxa" w:w="16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30k〜99,999円</w:t>
            </w:r>
          </w:p>
        </w:tc>
        <w:tc>
          <w:tcPr>
            <w:tcW w:type="dxa" w:w="16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100,000円〜</w:t>
            </w:r>
          </w:p>
        </w:tc>
        <w:tc>
          <w:tcPr>
            <w:tcW w:type="dxa" w:w="36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備考</w:t>
            </w:r>
          </w:p>
        </w:tc>
      </w:tr>
      <w:tr>
        <w:tc>
          <w:tcPr>
            <w:tcW w:type="dxa" w:w="900"/>
            <w:gridSpan w:val="1"/>
            <w:tcBorders>
              <w:top w:val="single" w:color="D0DAE4" w:sz="1"/>
              <w:left w:val="single" w:color="D0DAE4" w:sz="1"/>
              <w:bottom w:val="single" w:color="D0DAE4" w:sz="1"/>
              <w:right w:val="single" w:color="D0DAE4" w:sz="1"/>
            </w:tcBorders>
            <w:shd w:fill="FDF6E3" w:val="clear"/>
            <w:tcMar>
              <w:top w:type="dxa" w:w="70"/>
              <w:left w:type="dxa" w:w="110"/>
              <w:bottom w:type="dxa" w:w="70"/>
              <w:right w:type="dxa" w:w="110"/>
            </w:tcMar>
            <w:vAlign w:val="center"/>
          </w:tcPr>
          <w:p>
            <w:pPr>
              <w:jc w:val="center"/>
            </w:pPr>
            <w:r>
              <w:rPr>
                <w:rFonts w:ascii="Arial" w:cs="Arial" w:eastAsia="Arial" w:hAnsi="Arial"/>
                <w:b/>
                <w:bCs/>
                <w:i w:val="false"/>
                <w:iCs w:val="false"/>
                <w:color w:val="231815"/>
                <w:sz w:val="18"/>
                <w:szCs w:val="18"/>
              </w:rPr>
              <w:t xml:space="preserve">1（現行）</w:t>
            </w:r>
          </w:p>
        </w:tc>
        <w:tc>
          <w:tcPr>
            <w:tcW w:type="dxa" w:w="16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10%</w:t>
            </w:r>
          </w:p>
        </w:tc>
        <w:tc>
          <w:tcPr>
            <w:tcW w:type="dxa" w:w="16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8%</w:t>
            </w:r>
          </w:p>
        </w:tc>
        <w:tc>
          <w:tcPr>
            <w:tcW w:type="dxa" w:w="16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7A8A99"/>
                <w:sz w:val="18"/>
                <w:szCs w:val="18"/>
              </w:rPr>
              <w:t xml:space="preserve">8%</w:t>
            </w:r>
          </w:p>
        </w:tc>
        <w:tc>
          <w:tcPr>
            <w:tcW w:type="dxa" w:w="36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シンプルな2段階。参入障壁を下げる</w:t>
            </w:r>
          </w:p>
        </w:tc>
      </w:tr>
      <w:tr>
        <w:tc>
          <w:tcPr>
            <w:tcW w:type="dxa" w:w="9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2（予定）</w:t>
            </w:r>
          </w:p>
        </w:tc>
        <w:tc>
          <w:tcPr>
            <w:tcW w:type="dxa" w:w="16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10%</w:t>
            </w:r>
          </w:p>
        </w:tc>
        <w:tc>
          <w:tcPr>
            <w:tcW w:type="dxa" w:w="16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8%</w:t>
            </w:r>
          </w:p>
        </w:tc>
        <w:tc>
          <w:tcPr>
            <w:tcW w:type="dxa" w:w="16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1A7A3E"/>
                <w:sz w:val="18"/>
                <w:szCs w:val="18"/>
              </w:rPr>
              <w:t xml:space="preserve">6%</w:t>
            </w:r>
          </w:p>
        </w:tc>
        <w:tc>
          <w:tcPr>
            <w:tcW w:type="dxa" w:w="36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高額作品キャンペーンとして発表。既存ユーザーへの朗報として告知</w:t>
            </w:r>
          </w:p>
        </w:tc>
      </w:tr>
    </w:tbl>
    <w:p>
      <w:pPr>
        <w:spacing w:after="60" w:before="120"/>
      </w:pPr>
      <w:r>
        <w:t xml:space="preserve"/>
      </w:r>
    </w:p>
    <w:p>
      <w:pPr>
        <w:pStyle w:val="Heading2"/>
        <w:spacing w:after="100" w:before="300"/>
      </w:pPr>
      <w:r>
        <w:rPr>
          <w:rFonts w:ascii="Arial" w:cs="Arial" w:eastAsia="Arial" w:hAnsi="Arial"/>
          <w:b/>
          <w:bCs/>
          <w:color w:val="1A2A3A"/>
          <w:sz w:val="26"/>
          <w:szCs w:val="26"/>
        </w:rPr>
        <w:t xml:space="preserve">2-3. 競合比較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000"/>
        <w:gridCol w:w="1100"/>
        <w:gridCol w:w="4760"/>
      </w:tblGrid>
      <w:tr>
        <w:trPr>
          <w:tblHeader/>
        </w:trPr>
        <w:tc>
          <w:tcPr>
            <w:tcW w:type="dxa" w:w="15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サービス</w:t>
            </w:r>
          </w:p>
        </w:tc>
        <w:tc>
          <w:tcPr>
            <w:tcW w:type="dxa" w:w="10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低価格帯</w:t>
            </w:r>
          </w:p>
        </w:tc>
        <w:tc>
          <w:tcPr>
            <w:tcW w:type="dxa" w:w="10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中価格帯</w:t>
            </w:r>
          </w:p>
        </w:tc>
        <w:tc>
          <w:tcPr>
            <w:tcW w:type="dxa" w:w="10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高価格帯</w:t>
            </w:r>
          </w:p>
        </w:tc>
        <w:tc>
          <w:tcPr>
            <w:tcW w:type="dxa" w:w="11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展覧会連動</w:t>
            </w:r>
          </w:p>
        </w:tc>
        <w:tc>
          <w:tcPr>
            <w:tcW w:type="dxa" w:w="47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備考</w:t>
            </w:r>
          </w:p>
        </w:tc>
      </w:tr>
      <w:tr>
        <w:tc>
          <w:tcPr>
            <w:tcW w:type="dxa" w:w="1500"/>
            <w:gridSpan w:val="1"/>
            <w:tcBorders>
              <w:top w:val="single" w:color="D0DAE4" w:sz="1"/>
              <w:left w:val="single" w:color="D0DAE4" w:sz="1"/>
              <w:bottom w:val="single" w:color="D0DAE4" w:sz="1"/>
              <w:right w:val="single" w:color="D0DAE4" w:sz="1"/>
            </w:tcBorders>
            <w:shd w:fill="FDF6E3"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8"/>
                <w:szCs w:val="18"/>
              </w:rPr>
              <w:t xml:space="preserve">LIAISON+（Phase1）</w:t>
            </w:r>
          </w:p>
        </w:tc>
        <w:tc>
          <w:tcPr>
            <w:tcW w:type="dxa" w:w="1000"/>
            <w:gridSpan w:val="1"/>
            <w:tcBorders>
              <w:top w:val="single" w:color="D0DAE4" w:sz="1"/>
              <w:left w:val="single" w:color="D0DAE4" w:sz="1"/>
              <w:bottom w:val="single" w:color="D0DAE4" w:sz="1"/>
              <w:right w:val="single" w:color="D0DAE4" w:sz="1"/>
            </w:tcBorders>
            <w:shd w:fill="FDF6E3"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10%</w:t>
            </w:r>
          </w:p>
        </w:tc>
        <w:tc>
          <w:tcPr>
            <w:tcW w:type="dxa" w:w="1000"/>
            <w:gridSpan w:val="1"/>
            <w:tcBorders>
              <w:top w:val="single" w:color="D0DAE4" w:sz="1"/>
              <w:left w:val="single" w:color="D0DAE4" w:sz="1"/>
              <w:bottom w:val="single" w:color="D0DAE4" w:sz="1"/>
              <w:right w:val="single" w:color="D0DAE4" w:sz="1"/>
            </w:tcBorders>
            <w:shd w:fill="FDF6E3"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8%</w:t>
            </w:r>
          </w:p>
        </w:tc>
        <w:tc>
          <w:tcPr>
            <w:tcW w:type="dxa" w:w="1000"/>
            <w:gridSpan w:val="1"/>
            <w:tcBorders>
              <w:top w:val="single" w:color="D0DAE4" w:sz="1"/>
              <w:left w:val="single" w:color="D0DAE4" w:sz="1"/>
              <w:bottom w:val="single" w:color="D0DAE4" w:sz="1"/>
              <w:right w:val="single" w:color="D0DAE4" w:sz="1"/>
            </w:tcBorders>
            <w:shd w:fill="FDF6E3"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8%</w:t>
            </w:r>
          </w:p>
        </w:tc>
        <w:tc>
          <w:tcPr>
            <w:tcW w:type="dxa" w:w="1100"/>
            <w:gridSpan w:val="1"/>
            <w:tcBorders>
              <w:top w:val="single" w:color="D0DAE4" w:sz="1"/>
              <w:left w:val="single" w:color="D0DAE4" w:sz="1"/>
              <w:bottom w:val="single" w:color="D0DAE4" w:sz="1"/>
              <w:right w:val="single" w:color="D0DAE4" w:sz="1"/>
            </w:tcBorders>
            <w:shd w:fill="FDF6E3"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 専用設計</w:t>
            </w:r>
          </w:p>
        </w:tc>
        <w:tc>
          <w:tcPr>
            <w:tcW w:type="dxa" w:w="4760"/>
            <w:gridSpan w:val="1"/>
            <w:tcBorders>
              <w:top w:val="single" w:color="D0DAE4" w:sz="1"/>
              <w:left w:val="single" w:color="D0DAE4" w:sz="1"/>
              <w:bottom w:val="single" w:color="D0DAE4" w:sz="1"/>
              <w:right w:val="single" w:color="D0DAE4" w:sz="1"/>
            </w:tcBorders>
            <w:shd w:fill="FDF6E3"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会場優先型販売フロー。会期後のキュー方式で機会ロスを最小化</w:t>
            </w:r>
          </w:p>
        </w:tc>
      </w:tr>
      <w:tr>
        <w:tc>
          <w:tcPr>
            <w:tcW w:type="dxa" w:w="15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minne</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10%</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10%</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10%</w:t>
            </w:r>
          </w:p>
        </w:tc>
        <w:tc>
          <w:tcPr>
            <w:tcW w:type="dxa" w:w="11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7A8A99"/>
                <w:sz w:val="18"/>
                <w:szCs w:val="18"/>
              </w:rPr>
              <w:t xml:space="preserve">× なし</w:t>
            </w:r>
          </w:p>
        </w:tc>
        <w:tc>
          <w:tcPr>
            <w:tcW w:type="dxa" w:w="47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国内最大手ハンドメイド系。アマチュア中心</w:t>
            </w:r>
          </w:p>
        </w:tc>
      </w:tr>
      <w:tr>
        <w:tc>
          <w:tcPr>
            <w:tcW w:type="dxa" w:w="15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Creema</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10%</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10%</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10%</w:t>
            </w:r>
          </w:p>
        </w:tc>
        <w:tc>
          <w:tcPr>
            <w:tcW w:type="dxa" w:w="11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7A8A99"/>
                <w:sz w:val="18"/>
                <w:szCs w:val="18"/>
              </w:rPr>
              <w:t xml:space="preserve">× なし</w:t>
            </w:r>
          </w:p>
        </w:tc>
        <w:tc>
          <w:tcPr>
            <w:tcW w:type="dxa" w:w="47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工芸・ハンドメイド系に強い</w:t>
            </w:r>
          </w:p>
        </w:tc>
      </w:tr>
      <w:tr>
        <w:tc>
          <w:tcPr>
            <w:tcW w:type="dxa" w:w="15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OIL by 美術手帖</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C0392B"/>
                <w:sz w:val="18"/>
                <w:szCs w:val="18"/>
              </w:rPr>
              <w:t xml:space="preserve">20%</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C0392B"/>
                <w:sz w:val="18"/>
                <w:szCs w:val="18"/>
              </w:rPr>
              <w:t xml:space="preserve">20%</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C0392B"/>
                <w:sz w:val="18"/>
                <w:szCs w:val="18"/>
              </w:rPr>
              <w:t xml:space="preserve">20%</w:t>
            </w:r>
          </w:p>
        </w:tc>
        <w:tc>
          <w:tcPr>
            <w:tcW w:type="dxa" w:w="11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7A8A99"/>
                <w:sz w:val="18"/>
                <w:szCs w:val="18"/>
              </w:rPr>
              <w:t xml:space="preserve">△ 一部</w:t>
            </w:r>
          </w:p>
        </w:tc>
        <w:tc>
          <w:tcPr>
            <w:tcW w:type="dxa" w:w="47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国内アート特化。美術手帖ブランドが前提。高額作品中心</w:t>
            </w:r>
          </w:p>
        </w:tc>
      </w:tr>
      <w:tr>
        <w:tc>
          <w:tcPr>
            <w:tcW w:type="dxa" w:w="15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BASE（独自ショップ）</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3%+決済</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3%+決済</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3%+決済</w:t>
            </w:r>
          </w:p>
        </w:tc>
        <w:tc>
          <w:tcPr>
            <w:tcW w:type="dxa" w:w="11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7A8A99"/>
                <w:sz w:val="18"/>
                <w:szCs w:val="18"/>
              </w:rPr>
              <w:t xml:space="preserve">× なし</w:t>
            </w:r>
          </w:p>
        </w:tc>
        <w:tc>
          <w:tcPr>
            <w:tcW w:type="dxa" w:w="47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独自ショップ構築型。集客・運営コストはすべて自己負担</w:t>
            </w:r>
          </w:p>
        </w:tc>
      </w:tr>
    </w:tbl>
    <w:p>
      <w:pPr>
        <w:spacing w:after="60" w:before="120"/>
      </w:pPr>
      <w:r>
        <w:t xml:space="preserve"/>
      </w:r>
    </w:p>
    <w:p>
      <w:pPr>
        <w:pBdr>
          <w:left w:val="single" w:color="B87C10" w:sz="14" w:space="8"/>
        </w:pBdr>
        <w:shd w:fill="FDF6E3" w:val="clear"/>
        <w:spacing w:after="100" w:before="100"/>
        <w:ind w:left="200"/>
      </w:pPr>
      <w:r>
        <w:rPr>
          <w:rFonts w:ascii="Arial" w:cs="Arial" w:eastAsia="Arial" w:hAnsi="Arial"/>
          <w:color w:val="231815"/>
          <w:sz w:val="19"/>
          <w:szCs w:val="19"/>
        </w:rPr>
        <w:t xml:space="preserve">競合優位性：「展覧会連動」という独自ポジション。BASEより費用は高いが集客・信頼をプラットフォームが担う。minne/Creemaと同率以下でアート特化の価値を提供。OILの半額以下で参入障壁を下げる。</w:t>
      </w:r>
    </w:p>
    <w:p>
      <w:r>
        <w:br w:type="page"/>
      </w:r>
    </w:p>
    <w:p>
      <w:pPr>
        <w:pStyle w:val="Heading1"/>
        <w:pBdr>
          <w:bottom w:val="single" w:color="B87C10" w:sz="8" w:space="4"/>
        </w:pBdr>
        <w:spacing w:after="160" w:before="400"/>
      </w:pPr>
      <w:r>
        <w:rPr>
          <w:rFonts w:ascii="Arial" w:cs="Arial" w:eastAsia="Arial" w:hAnsi="Arial"/>
          <w:b/>
          <w:bCs/>
          <w:color w:val="1A2A3A"/>
          <w:sz w:val="36"/>
          <w:szCs w:val="36"/>
        </w:rPr>
        <w:t xml:space="preserve">3. 保守シナリオ — Conservative</w:t>
      </w:r>
    </w:p>
    <w:p>
      <w:pPr>
        <w:spacing w:after="60" w:before="60"/>
        <w:jc w:val="left"/>
      </w:pPr>
      <w:r>
        <w:rPr>
          <w:rFonts w:ascii="Arial" w:cs="Arial" w:eastAsia="Arial" w:hAnsi="Arial"/>
          <w:b w:val="false"/>
          <w:bCs w:val="false"/>
          <w:color w:val="231815"/>
          <w:sz w:val="20"/>
          <w:szCs w:val="20"/>
        </w:rPr>
        <w:t xml:space="preserve">個展なびの既存クリエイター・ギャラリーへの案内を主軸に、口コミと自然流入で緩やかに申込者を拡大するケース。サービス品質の安定を最優先にする。</w:t>
      </w:r>
    </w:p>
    <w:p>
      <w:pPr>
        <w:spacing w:after="60" w:before="80"/>
      </w:pPr>
      <w:r>
        <w:t xml:space="preserve"/>
      </w:r>
    </w:p>
    <w:p>
      <w:pPr>
        <w:pStyle w:val="Heading2"/>
        <w:spacing w:after="100" w:before="300"/>
      </w:pPr>
      <w:r>
        <w:rPr>
          <w:rFonts w:ascii="Arial" w:cs="Arial" w:eastAsia="Arial" w:hAnsi="Arial"/>
          <w:b/>
          <w:bCs/>
          <w:color w:val="1A2A3A"/>
          <w:sz w:val="26"/>
          <w:szCs w:val="26"/>
        </w:rPr>
        <w:t xml:space="preserve">前提・仮定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項目</w:t>
            </w:r>
          </w:p>
        </w:tc>
        <w:tc>
          <w:tcPr>
            <w:tcW w:type="dxa" w:w="6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設定値</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3年末時点の申込率</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16.0%（母集団800人に対する割合）</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成約率</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55.0%（購入申込→成約確定）</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匿名配送利用率</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20.0%（成約件数に対する匿名配送選択率）</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匿名配送API導入時期</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第4期（2年後）</w:t>
            </w:r>
          </w:p>
        </w:tc>
      </w:tr>
    </w:tbl>
    <w:p>
      <w:pPr>
        <w:spacing w:after="60" w:before="80"/>
      </w:pPr>
      <w:r>
        <w:t xml:space="preserve"/>
      </w:r>
    </w:p>
    <w:p>
      <w:pPr>
        <w:pStyle w:val="Heading2"/>
        <w:spacing w:after="100" w:before="300"/>
      </w:pPr>
      <w:r>
        <w:rPr>
          <w:rFonts w:ascii="Arial" w:cs="Arial" w:eastAsia="Arial" w:hAnsi="Arial"/>
          <w:b/>
          <w:bCs/>
          <w:color w:val="1A2A3A"/>
          <w:sz w:val="26"/>
          <w:szCs w:val="26"/>
        </w:rPr>
        <w:t xml:space="preserve">成長戦略</w:t>
      </w:r>
    </w:p>
    <w:p>
      <w:pPr>
        <w:pStyle w:val="ListParagraph"/>
        <w:numPr>
          <w:ilvl w:val="0"/>
          <w:numId w:val="2"/>
        </w:numPr>
        <w:spacing w:after="40" w:before="40"/>
      </w:pPr>
      <w:r>
        <w:rPr>
          <w:rFonts w:ascii="Arial" w:cs="Arial" w:eastAsia="Arial" w:hAnsi="Arial"/>
          <w:color w:val="231815"/>
          <w:sz w:val="19"/>
          <w:szCs w:val="19"/>
        </w:rPr>
        <w:t xml:space="preserve">既存の個展なびクリエイター・ギャラリーへのプッシュ通知・メール案内で低コスト獲得</w:t>
      </w:r>
    </w:p>
    <w:p>
      <w:pPr>
        <w:pStyle w:val="ListParagraph"/>
        <w:numPr>
          <w:ilvl w:val="0"/>
          <w:numId w:val="2"/>
        </w:numPr>
        <w:spacing w:after="40" w:before="40"/>
      </w:pPr>
      <w:r>
        <w:rPr>
          <w:rFonts w:ascii="Arial" w:cs="Arial" w:eastAsia="Arial" w:hAnsi="Arial"/>
          <w:color w:val="231815"/>
          <w:sz w:val="19"/>
          <w:szCs w:val="19"/>
        </w:rPr>
        <w:t xml:space="preserve">丁寧なオンボーディング（出品ガイド・画像撮影ガイド）で初期離脱を防ぐ</w:t>
      </w:r>
    </w:p>
    <w:p>
      <w:pPr>
        <w:pStyle w:val="ListParagraph"/>
        <w:numPr>
          <w:ilvl w:val="0"/>
          <w:numId w:val="2"/>
        </w:numPr>
        <w:spacing w:after="40" w:before="40"/>
      </w:pPr>
      <w:r>
        <w:rPr>
          <w:rFonts w:ascii="Arial" w:cs="Arial" w:eastAsia="Arial" w:hAnsi="Arial"/>
          <w:color w:val="231815"/>
          <w:sz w:val="19"/>
          <w:szCs w:val="19"/>
        </w:rPr>
        <w:t xml:space="preserve">匿名配送はPhase2（2年目後半）で導入し、固定コストを極力抑制する</w:t>
      </w:r>
    </w:p>
    <w:p>
      <w:pPr>
        <w:pStyle w:val="ListParagraph"/>
        <w:numPr>
          <w:ilvl w:val="0"/>
          <w:numId w:val="2"/>
        </w:numPr>
        <w:spacing w:after="40" w:before="40"/>
      </w:pPr>
      <w:r>
        <w:rPr>
          <w:rFonts w:ascii="Arial" w:cs="Arial" w:eastAsia="Arial" w:hAnsi="Arial"/>
          <w:color w:val="231815"/>
          <w:sz w:val="19"/>
          <w:szCs w:val="19"/>
        </w:rPr>
        <w:t xml:space="preserve">少数の成功事例を丁寧にコンテンツ化し、申込の心理的ハードルを下げる</w:t>
      </w:r>
    </w:p>
    <w:p>
      <w:pPr>
        <w:spacing w:after="60" w:before="120"/>
      </w:pPr>
      <w:r>
        <w:t xml:space="preserve"/>
      </w:r>
    </w:p>
    <w:p>
      <w:pPr>
        <w:pStyle w:val="Heading2"/>
        <w:spacing w:after="100" w:before="300"/>
      </w:pPr>
      <w:r>
        <w:rPr>
          <w:rFonts w:ascii="Arial" w:cs="Arial" w:eastAsia="Arial" w:hAnsi="Arial"/>
          <w:b/>
          <w:bCs/>
          <w:color w:val="1A2A3A"/>
          <w:sz w:val="26"/>
          <w:szCs w:val="26"/>
        </w:rPr>
        <w:t xml:space="preserve">半期別シミュレーション</w:t>
      </w:r>
    </w:p>
    <w:p>
      <w:pPr>
        <w:spacing w:after="60" w:before="60"/>
      </w:pPr>
      <w:r>
        <w:rPr>
          <w:rFonts w:ascii="Arial" w:cs="Arial" w:eastAsia="Arial" w:hAnsi="Arial"/>
          <w:i/>
          <w:iCs/>
          <w:color w:val="7A8A99"/>
          <w:sz w:val="16"/>
          <w:szCs w:val="16"/>
        </w:rPr>
        <w:t xml:space="preserve">※ 申込率＝その期末時点での母集団800人に対するリエゾンプラス申込者の割合</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560"/>
        <w:gridCol w:w="560"/>
        <w:gridCol w:w="870"/>
        <w:gridCol w:w="870"/>
        <w:gridCol w:w="820"/>
        <w:gridCol w:w="820"/>
        <w:gridCol w:w="870"/>
        <w:gridCol w:w="750"/>
      </w:tblGrid>
      <w:tr>
        <w:trPr>
          <w:tblHeader/>
        </w:trPr>
        <w:tc>
          <w:tcPr>
            <w:tcW w:type="dxa" w:w="8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期</w:t>
            </w:r>
          </w:p>
        </w:tc>
        <w:tc>
          <w:tcPr>
            <w:tcW w:type="dxa" w:w="6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申込率</w:t>
            </w:r>
          </w:p>
        </w:tc>
        <w:tc>
          <w:tcPr>
            <w:tcW w:type="dxa" w:w="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出品者
クリエイター</w:t>
            </w:r>
          </w:p>
        </w:tc>
        <w:tc>
          <w:tcPr>
            <w:tcW w:type="dxa" w:w="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出品者
ギャラリー</w:t>
            </w:r>
          </w:p>
        </w:tc>
        <w:tc>
          <w:tcPr>
            <w:tcW w:type="dxa" w:w="87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成約件数</w:t>
            </w:r>
          </w:p>
        </w:tc>
        <w:tc>
          <w:tcPr>
            <w:tcW w:type="dxa" w:w="87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取引総額
GMV</w:t>
            </w:r>
          </w:p>
        </w:tc>
        <w:tc>
          <w:tcPr>
            <w:tcW w:type="dxa" w:w="8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個展なび
収入</w:t>
            </w:r>
          </w:p>
        </w:tc>
        <w:tc>
          <w:tcPr>
            <w:tcW w:type="dxa" w:w="8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Stripe
手数料</w:t>
            </w:r>
          </w:p>
        </w:tc>
        <w:tc>
          <w:tcPr>
            <w:tcW w:type="dxa" w:w="87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匿名配送
コスト計</w:t>
            </w:r>
          </w:p>
        </w:tc>
        <w:tc>
          <w:tcPr>
            <w:tcW w:type="dxa" w:w="75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営業利益</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1年前半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3.0%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18人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50件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¥2,855,000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¥254,095</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-¥102,780</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¥151,315</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1年後半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5.0%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30人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10人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83件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¥4,739,300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¥421,798</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-¥170,615</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¥251,183</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2年前半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7.5%</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45人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15人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124件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¥7,080,400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¥630,156</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-¥254,894</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¥375,262</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2年後半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10.0%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60人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20人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165件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¥9,421,500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¥838,514</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-¥339,174</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-¥450,330</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¥49,010</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3年前半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13.0%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78人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26人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215件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¥12,276,500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¥1,092,609</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-¥441,954</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-¥300,430</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¥350,225</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6"/>
                <w:szCs w:val="16"/>
              </w:rPr>
              <w:t xml:space="preserve">3年後半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16.0%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96人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32人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264件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¥15,074,400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¥1,341,622</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-¥542,678</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-¥300,528</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¥498,416</w:t>
            </w:r>
          </w:p>
        </w:tc>
      </w:tr>
      <w:tr>
        <w:tc>
          <w:tcPr>
            <w:tcW w:type="dxa" w:w="8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8"/>
                <w:szCs w:val="18"/>
              </w:rPr>
              <w:t xml:space="preserve">3年累計</w:t>
            </w:r>
          </w:p>
        </w:tc>
        <w:tc>
          <w:tcPr>
            <w:tcW w:type="dxa" w:w="6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c>
          <w:tcPr>
            <w:tcW w:type="dxa" w:w="56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c>
          <w:tcPr>
            <w:tcW w:type="dxa" w:w="56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c>
          <w:tcPr>
            <w:tcW w:type="dxa" w:w="87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231815"/>
                <w:sz w:val="18"/>
                <w:szCs w:val="18"/>
              </w:rPr>
              <w:t xml:space="preserve">901件</w:t>
            </w:r>
          </w:p>
        </w:tc>
        <w:tc>
          <w:tcPr>
            <w:tcW w:type="dxa" w:w="87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231815"/>
                <w:sz w:val="18"/>
                <w:szCs w:val="18"/>
              </w:rPr>
              <w:t xml:space="preserve">¥51,447,100</w:t>
            </w:r>
          </w:p>
        </w:tc>
        <w:tc>
          <w:tcPr>
            <w:tcW w:type="dxa" w:w="8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231815"/>
                <w:sz w:val="18"/>
                <w:szCs w:val="18"/>
              </w:rPr>
              <w:t xml:space="preserve">¥4,578,794</w:t>
            </w:r>
          </w:p>
        </w:tc>
        <w:tc>
          <w:tcPr>
            <w:tcW w:type="dxa" w:w="8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C0392B"/>
                <w:sz w:val="18"/>
                <w:szCs w:val="18"/>
              </w:rPr>
              <w:t xml:space="preserve">-¥1,852,095</w:t>
            </w:r>
          </w:p>
        </w:tc>
        <w:tc>
          <w:tcPr>
            <w:tcW w:type="dxa" w:w="87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C0392B"/>
                <w:sz w:val="18"/>
                <w:szCs w:val="18"/>
              </w:rPr>
              <w:t xml:space="preserve">-¥1,051,288</w:t>
            </w:r>
          </w:p>
        </w:tc>
        <w:tc>
          <w:tcPr>
            <w:tcW w:type="dxa" w:w="750"/>
            <w:gridSpan w:val="1"/>
            <w:tcBorders>
              <w:top w:val="single" w:color="D0DAE4" w:sz="1"/>
              <w:left w:val="single" w:color="D0DAE4" w:sz="1"/>
              <w:bottom w:val="single" w:color="D0DAE4" w:sz="1"/>
              <w:right w:val="single" w:color="D0DAE4" w:sz="1"/>
            </w:tcBorders>
            <w:shd w:fill="E8F5EE"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8"/>
                <w:szCs w:val="18"/>
              </w:rPr>
              <w:t xml:space="preserve">¥1,675,411</w:t>
            </w:r>
          </w:p>
        </w:tc>
      </w:tr>
    </w:tbl>
    <w:p>
      <w:pPr>
        <w:spacing w:after="60" w:before="120"/>
      </w:pPr>
      <w:r>
        <w:t xml:space="preserve"/>
      </w:r>
    </w:p>
    <w:p>
      <w:pPr>
        <w:pStyle w:val="Heading2"/>
        <w:spacing w:after="100" w:before="300"/>
      </w:pPr>
      <w:r>
        <w:rPr>
          <w:rFonts w:ascii="Arial" w:cs="Arial" w:eastAsia="Arial" w:hAnsi="Arial"/>
          <w:b/>
          <w:bCs/>
          <w:color w:val="1A2A3A"/>
          <w:sz w:val="26"/>
          <w:szCs w:val="26"/>
        </w:rPr>
        <w:t xml:space="preserve">3年間 主要KPI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KPI</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1年目末</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2年目末</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3年目末</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申込出品者数（合計）</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40人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80人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128人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7A8A99"/>
                <w:sz w:val="18"/>
                <w:szCs w:val="18"/>
              </w:rPr>
              <w:t xml:space="preserve">　うちクリエイター</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30人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60人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96人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7A8A99"/>
                <w:sz w:val="18"/>
                <w:szCs w:val="18"/>
              </w:rPr>
              <w:t xml:space="preserve">　うちギャラリー</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10人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20人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32人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半期成約件数</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83件</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165件</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264件</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901件</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取引総額（GMV）</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¥7,594,300</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¥24,096,200</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¥27,350,900</w:t>
            </w:r>
          </w:p>
        </w:tc>
        <w:tc>
          <w:tcPr>
            <w:tcW w:type="dxa" w:w="164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¥51,447,100</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営業利益（Stripe+匿名配送控除後）</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¥402,498</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¥826,770</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¥848,641</w:t>
            </w:r>
          </w:p>
        </w:tc>
        <w:tc>
          <w:tcPr>
            <w:tcW w:type="dxa" w:w="164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¥1,675,411</w:t>
            </w:r>
          </w:p>
        </w:tc>
      </w:tr>
    </w:tbl>
    <w:p>
      <w:pPr>
        <w:spacing w:after="60" w:before="120"/>
      </w:pPr>
      <w:r>
        <w:t xml:space="preserve"/>
      </w:r>
    </w:p>
    <w:p>
      <w:r>
        <w:br w:type="page"/>
      </w:r>
    </w:p>
    <w:p>
      <w:pPr>
        <w:pStyle w:val="Heading1"/>
        <w:pBdr>
          <w:bottom w:val="single" w:color="B87C10" w:sz="8" w:space="4"/>
        </w:pBdr>
        <w:spacing w:after="160" w:before="400"/>
      </w:pPr>
      <w:r>
        <w:rPr>
          <w:rFonts w:ascii="Arial" w:cs="Arial" w:eastAsia="Arial" w:hAnsi="Arial"/>
          <w:b/>
          <w:bCs/>
          <w:color w:val="1A2A3A"/>
          <w:sz w:val="36"/>
          <w:szCs w:val="36"/>
        </w:rPr>
        <w:t xml:space="preserve">4. 標準シナリオ — Standard</w:t>
      </w:r>
    </w:p>
    <w:p>
      <w:pPr>
        <w:spacing w:after="60" w:before="60"/>
        <w:jc w:val="left"/>
      </w:pPr>
      <w:r>
        <w:rPr>
          <w:rFonts w:ascii="Arial" w:cs="Arial" w:eastAsia="Arial" w:hAnsi="Arial"/>
          <w:b w:val="false"/>
          <w:bCs w:val="false"/>
          <w:color w:val="231815"/>
          <w:sz w:val="20"/>
          <w:szCs w:val="20"/>
        </w:rPr>
        <w:t xml:space="preserve">クリエイター・ギャラリー双方への積極的な案内と、ギャラリー経由のクリエイター紹介でバランスよく成長するケース。安定した収益化と機能拡充を両立する。</w:t>
      </w:r>
    </w:p>
    <w:p>
      <w:pPr>
        <w:spacing w:after="60" w:before="80"/>
      </w:pPr>
      <w:r>
        <w:t xml:space="preserve"/>
      </w:r>
    </w:p>
    <w:p>
      <w:pPr>
        <w:pStyle w:val="Heading2"/>
        <w:spacing w:after="100" w:before="300"/>
      </w:pPr>
      <w:r>
        <w:rPr>
          <w:rFonts w:ascii="Arial" w:cs="Arial" w:eastAsia="Arial" w:hAnsi="Arial"/>
          <w:b/>
          <w:bCs/>
          <w:color w:val="1A2A3A"/>
          <w:sz w:val="26"/>
          <w:szCs w:val="26"/>
        </w:rPr>
        <w:t xml:space="preserve">前提・仮定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項目</w:t>
            </w:r>
          </w:p>
        </w:tc>
        <w:tc>
          <w:tcPr>
            <w:tcW w:type="dxa" w:w="6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設定値</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3年末時点の申込率</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32.0%（母集団800人に対する割合）</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成約率</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60.0%（購入申込→成約確定）</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匿名配送利用率</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30.0%（成約件数に対する匿名配送選択率）</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匿名配送API導入時期</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第3期（1年6ヶ月後）</w:t>
            </w:r>
          </w:p>
        </w:tc>
      </w:tr>
    </w:tbl>
    <w:p>
      <w:pPr>
        <w:spacing w:after="60" w:before="80"/>
      </w:pPr>
      <w:r>
        <w:t xml:space="preserve"/>
      </w:r>
    </w:p>
    <w:p>
      <w:pPr>
        <w:pStyle w:val="Heading2"/>
        <w:spacing w:after="100" w:before="300"/>
      </w:pPr>
      <w:r>
        <w:rPr>
          <w:rFonts w:ascii="Arial" w:cs="Arial" w:eastAsia="Arial" w:hAnsi="Arial"/>
          <w:b/>
          <w:bCs/>
          <w:color w:val="1A2A3A"/>
          <w:sz w:val="26"/>
          <w:szCs w:val="26"/>
        </w:rPr>
        <w:t xml:space="preserve">成長戦略</w:t>
      </w:r>
    </w:p>
    <w:p>
      <w:pPr>
        <w:pStyle w:val="ListParagraph"/>
        <w:numPr>
          <w:ilvl w:val="0"/>
          <w:numId w:val="2"/>
        </w:numPr>
        <w:spacing w:after="40" w:before="40"/>
      </w:pPr>
      <w:r>
        <w:rPr>
          <w:rFonts w:ascii="Arial" w:cs="Arial" w:eastAsia="Arial" w:hAnsi="Arial"/>
          <w:color w:val="231815"/>
          <w:sz w:val="19"/>
          <w:szCs w:val="19"/>
        </w:rPr>
        <w:t xml:space="preserve">ギャラリーへの早期展開（ローンチ後すぐ）でGMVの底上げを図る</w:t>
      </w:r>
    </w:p>
    <w:p>
      <w:pPr>
        <w:pStyle w:val="ListParagraph"/>
        <w:numPr>
          <w:ilvl w:val="0"/>
          <w:numId w:val="2"/>
        </w:numPr>
        <w:spacing w:after="40" w:before="40"/>
      </w:pPr>
      <w:r>
        <w:rPr>
          <w:rFonts w:ascii="Arial" w:cs="Arial" w:eastAsia="Arial" w:hAnsi="Arial"/>
          <w:color w:val="231815"/>
          <w:sz w:val="19"/>
          <w:szCs w:val="19"/>
        </w:rPr>
        <w:t xml:space="preserve">ギャラリー経由でクリエイターへリエゾンプラスを紹介する間接獲得チャネルを構築</w:t>
      </w:r>
    </w:p>
    <w:p>
      <w:pPr>
        <w:pStyle w:val="ListParagraph"/>
        <w:numPr>
          <w:ilvl w:val="0"/>
          <w:numId w:val="2"/>
        </w:numPr>
        <w:spacing w:after="40" w:before="40"/>
      </w:pPr>
      <w:r>
        <w:rPr>
          <w:rFonts w:ascii="Arial" w:cs="Arial" w:eastAsia="Arial" w:hAnsi="Arial"/>
          <w:color w:val="231815"/>
          <w:sz w:val="19"/>
          <w:szCs w:val="19"/>
        </w:rPr>
        <w:t xml:space="preserve">成約事例をLP・SNSで積極発信し、申込率を継続的に改善する</w:t>
      </w:r>
    </w:p>
    <w:p>
      <w:pPr>
        <w:pStyle w:val="ListParagraph"/>
        <w:numPr>
          <w:ilvl w:val="0"/>
          <w:numId w:val="2"/>
        </w:numPr>
        <w:spacing w:after="40" w:before="40"/>
      </w:pPr>
      <w:r>
        <w:rPr>
          <w:rFonts w:ascii="Arial" w:cs="Arial" w:eastAsia="Arial" w:hAnsi="Arial"/>
          <w:color w:val="231815"/>
          <w:sz w:val="19"/>
          <w:szCs w:val="19"/>
        </w:rPr>
        <w:t xml:space="preserve">匿名配送をPhase2（1年6ヶ月後）で導入し、安心感で高単価クリエイターを引き込む</w:t>
      </w:r>
    </w:p>
    <w:p>
      <w:pPr>
        <w:spacing w:after="60" w:before="120"/>
      </w:pPr>
      <w:r>
        <w:t xml:space="preserve"/>
      </w:r>
    </w:p>
    <w:p>
      <w:pPr>
        <w:pStyle w:val="Heading2"/>
        <w:spacing w:after="100" w:before="300"/>
      </w:pPr>
      <w:r>
        <w:rPr>
          <w:rFonts w:ascii="Arial" w:cs="Arial" w:eastAsia="Arial" w:hAnsi="Arial"/>
          <w:b/>
          <w:bCs/>
          <w:color w:val="1A2A3A"/>
          <w:sz w:val="26"/>
          <w:szCs w:val="26"/>
        </w:rPr>
        <w:t xml:space="preserve">半期別シミュレーション</w:t>
      </w:r>
    </w:p>
    <w:p>
      <w:pPr>
        <w:spacing w:after="60" w:before="60"/>
      </w:pPr>
      <w:r>
        <w:rPr>
          <w:rFonts w:ascii="Arial" w:cs="Arial" w:eastAsia="Arial" w:hAnsi="Arial"/>
          <w:i/>
          <w:iCs/>
          <w:color w:val="7A8A99"/>
          <w:sz w:val="16"/>
          <w:szCs w:val="16"/>
        </w:rPr>
        <w:t xml:space="preserve">※ 申込率＝その期末時点での母集団800人に対するリエゾンプラス申込者の割合</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560"/>
        <w:gridCol w:w="560"/>
        <w:gridCol w:w="870"/>
        <w:gridCol w:w="870"/>
        <w:gridCol w:w="820"/>
        <w:gridCol w:w="820"/>
        <w:gridCol w:w="870"/>
        <w:gridCol w:w="750"/>
      </w:tblGrid>
      <w:tr>
        <w:trPr>
          <w:tblHeader/>
        </w:trPr>
        <w:tc>
          <w:tcPr>
            <w:tcW w:type="dxa" w:w="8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期</w:t>
            </w:r>
          </w:p>
        </w:tc>
        <w:tc>
          <w:tcPr>
            <w:tcW w:type="dxa" w:w="6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申込率</w:t>
            </w:r>
          </w:p>
        </w:tc>
        <w:tc>
          <w:tcPr>
            <w:tcW w:type="dxa" w:w="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出品者
クリエイター</w:t>
            </w:r>
          </w:p>
        </w:tc>
        <w:tc>
          <w:tcPr>
            <w:tcW w:type="dxa" w:w="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出品者
ギャラリー</w:t>
            </w:r>
          </w:p>
        </w:tc>
        <w:tc>
          <w:tcPr>
            <w:tcW w:type="dxa" w:w="87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成約件数</w:t>
            </w:r>
          </w:p>
        </w:tc>
        <w:tc>
          <w:tcPr>
            <w:tcW w:type="dxa" w:w="87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取引総額
GMV</w:t>
            </w:r>
          </w:p>
        </w:tc>
        <w:tc>
          <w:tcPr>
            <w:tcW w:type="dxa" w:w="8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個展なび
収入</w:t>
            </w:r>
          </w:p>
        </w:tc>
        <w:tc>
          <w:tcPr>
            <w:tcW w:type="dxa" w:w="8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Stripe
手数料</w:t>
            </w:r>
          </w:p>
        </w:tc>
        <w:tc>
          <w:tcPr>
            <w:tcW w:type="dxa" w:w="87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匿名配送
コスト計</w:t>
            </w:r>
          </w:p>
        </w:tc>
        <w:tc>
          <w:tcPr>
            <w:tcW w:type="dxa" w:w="75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営業利益</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1年前半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7.0%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42人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14人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126件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¥7,194,600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¥640,319</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-¥259,006</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¥381,313</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1年後半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12.0%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72人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24人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216件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¥12,333,600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¥1,097,690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-¥444,010</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¥653,680</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2年前半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17.0%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102人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34人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306件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¥17,472,600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¥1,555,061</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-¥629,014</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-¥450,918</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¥475,129</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2年後半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22.0%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132人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44人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396件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¥22,611,600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¥2,012,432</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-¥814,018</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-¥301,188</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¥897,226</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3年前半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27.0%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162人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54人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486件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¥27,750,600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¥2,469,803</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-¥999,022</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-¥301,458</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¥1,169,323</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6"/>
                <w:szCs w:val="16"/>
              </w:rPr>
              <w:t xml:space="preserve">3年後半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32.0%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192人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64人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576件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¥32,889,600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¥2,927,174</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-¥1,184,026</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-¥301,728</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¥1,441,420</w:t>
            </w:r>
          </w:p>
        </w:tc>
      </w:tr>
      <w:tr>
        <w:tc>
          <w:tcPr>
            <w:tcW w:type="dxa" w:w="8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8"/>
                <w:szCs w:val="18"/>
              </w:rPr>
              <w:t xml:space="preserve">3年累計</w:t>
            </w:r>
          </w:p>
        </w:tc>
        <w:tc>
          <w:tcPr>
            <w:tcW w:type="dxa" w:w="6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c>
          <w:tcPr>
            <w:tcW w:type="dxa" w:w="56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c>
          <w:tcPr>
            <w:tcW w:type="dxa" w:w="56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c>
          <w:tcPr>
            <w:tcW w:type="dxa" w:w="87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231815"/>
                <w:sz w:val="18"/>
                <w:szCs w:val="18"/>
              </w:rPr>
              <w:t xml:space="preserve">2,106件</w:t>
            </w:r>
          </w:p>
        </w:tc>
        <w:tc>
          <w:tcPr>
            <w:tcW w:type="dxa" w:w="87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231815"/>
                <w:sz w:val="18"/>
                <w:szCs w:val="18"/>
              </w:rPr>
              <w:t xml:space="preserve">¥120,252,600</w:t>
            </w:r>
          </w:p>
        </w:tc>
        <w:tc>
          <w:tcPr>
            <w:tcW w:type="dxa" w:w="8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231815"/>
                <w:sz w:val="18"/>
                <w:szCs w:val="18"/>
              </w:rPr>
              <w:t xml:space="preserve">¥10,702,479</w:t>
            </w:r>
          </w:p>
        </w:tc>
        <w:tc>
          <w:tcPr>
            <w:tcW w:type="dxa" w:w="8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C0392B"/>
                <w:sz w:val="18"/>
                <w:szCs w:val="18"/>
              </w:rPr>
              <w:t xml:space="preserve">-¥4,329,096</w:t>
            </w:r>
          </w:p>
        </w:tc>
        <w:tc>
          <w:tcPr>
            <w:tcW w:type="dxa" w:w="87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C0392B"/>
                <w:sz w:val="18"/>
                <w:szCs w:val="18"/>
              </w:rPr>
              <w:t xml:space="preserve">-¥1,355,292</w:t>
            </w:r>
          </w:p>
        </w:tc>
        <w:tc>
          <w:tcPr>
            <w:tcW w:type="dxa" w:w="750"/>
            <w:gridSpan w:val="1"/>
            <w:tcBorders>
              <w:top w:val="single" w:color="D0DAE4" w:sz="1"/>
              <w:left w:val="single" w:color="D0DAE4" w:sz="1"/>
              <w:bottom w:val="single" w:color="D0DAE4" w:sz="1"/>
              <w:right w:val="single" w:color="D0DAE4" w:sz="1"/>
            </w:tcBorders>
            <w:shd w:fill="E8F5EE"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8"/>
                <w:szCs w:val="18"/>
              </w:rPr>
              <w:t xml:space="preserve">¥5,018,091</w:t>
            </w:r>
          </w:p>
        </w:tc>
      </w:tr>
    </w:tbl>
    <w:p>
      <w:pPr>
        <w:spacing w:after="60" w:before="120"/>
      </w:pPr>
      <w:r>
        <w:t xml:space="preserve"/>
      </w:r>
    </w:p>
    <w:p>
      <w:pPr>
        <w:pStyle w:val="Heading2"/>
        <w:spacing w:after="100" w:before="300"/>
      </w:pPr>
      <w:r>
        <w:rPr>
          <w:rFonts w:ascii="Arial" w:cs="Arial" w:eastAsia="Arial" w:hAnsi="Arial"/>
          <w:b/>
          <w:bCs/>
          <w:color w:val="1A2A3A"/>
          <w:sz w:val="26"/>
          <w:szCs w:val="26"/>
        </w:rPr>
        <w:t xml:space="preserve">3年間 主要KPI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KPI</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1年目末</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2年目末</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3年目末</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申込出品者数（合計）</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96人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176人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256人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7A8A99"/>
                <w:sz w:val="18"/>
                <w:szCs w:val="18"/>
              </w:rPr>
              <w:t xml:space="preserve">　うちクリエイター</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72人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132人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192人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7A8A99"/>
                <w:sz w:val="18"/>
                <w:szCs w:val="18"/>
              </w:rPr>
              <w:t xml:space="preserve">　うちギャラリー</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24人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44人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64人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半期成約件数</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216件</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396件</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576件</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2,106件</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取引総額（GMV）</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¥19,528,200</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¥59,612,400</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¥60,640,200</w:t>
            </w:r>
          </w:p>
        </w:tc>
        <w:tc>
          <w:tcPr>
            <w:tcW w:type="dxa" w:w="164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¥120,252,600</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営業利益（Stripe+匿名配送控除後）</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¥1,034,993</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¥2,407,348</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¥2,610,743</w:t>
            </w:r>
          </w:p>
        </w:tc>
        <w:tc>
          <w:tcPr>
            <w:tcW w:type="dxa" w:w="164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¥5,018,091</w:t>
            </w:r>
          </w:p>
        </w:tc>
      </w:tr>
    </w:tbl>
    <w:p>
      <w:pPr>
        <w:spacing w:after="60" w:before="120"/>
      </w:pPr>
      <w:r>
        <w:t xml:space="preserve"/>
      </w:r>
    </w:p>
    <w:p>
      <w:r>
        <w:br w:type="page"/>
      </w:r>
    </w:p>
    <w:p>
      <w:pPr>
        <w:pStyle w:val="Heading1"/>
        <w:pBdr>
          <w:bottom w:val="single" w:color="B87C10" w:sz="8" w:space="4"/>
        </w:pBdr>
        <w:spacing w:after="160" w:before="400"/>
      </w:pPr>
      <w:r>
        <w:rPr>
          <w:rFonts w:ascii="Arial" w:cs="Arial" w:eastAsia="Arial" w:hAnsi="Arial"/>
          <w:b/>
          <w:bCs/>
          <w:color w:val="1A2A3A"/>
          <w:sz w:val="36"/>
          <w:szCs w:val="36"/>
        </w:rPr>
        <w:t xml:space="preserve">5. 積極シナリオ — Aggressive</w:t>
      </w:r>
    </w:p>
    <w:p>
      <w:pPr>
        <w:spacing w:after="60" w:before="60"/>
        <w:jc w:val="left"/>
      </w:pPr>
      <w:r>
        <w:rPr>
          <w:rFonts w:ascii="Arial" w:cs="Arial" w:eastAsia="Arial" w:hAnsi="Arial"/>
          <w:b w:val="false"/>
          <w:bCs w:val="false"/>
          <w:color w:val="231815"/>
          <w:sz w:val="20"/>
          <w:szCs w:val="20"/>
        </w:rPr>
        <w:t xml:space="preserve">SNS・展覧会イベント連携・インフルエンサー施策を積極投入し、申込者数を急速に拡大するケース。マーケティング費用の先行投資が前提となる。</w:t>
      </w:r>
    </w:p>
    <w:p>
      <w:pPr>
        <w:spacing w:after="60" w:before="80"/>
      </w:pPr>
      <w:r>
        <w:t xml:space="preserve"/>
      </w:r>
    </w:p>
    <w:p>
      <w:pPr>
        <w:pStyle w:val="Heading2"/>
        <w:spacing w:after="100" w:before="300"/>
      </w:pPr>
      <w:r>
        <w:rPr>
          <w:rFonts w:ascii="Arial" w:cs="Arial" w:eastAsia="Arial" w:hAnsi="Arial"/>
          <w:b/>
          <w:bCs/>
          <w:color w:val="1A2A3A"/>
          <w:sz w:val="26"/>
          <w:szCs w:val="26"/>
        </w:rPr>
        <w:t xml:space="preserve">前提・仮定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項目</w:t>
            </w:r>
          </w:p>
        </w:tc>
        <w:tc>
          <w:tcPr>
            <w:tcW w:type="dxa" w:w="6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設定値</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3年末時点の申込率</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55.0%（母集団800人に対する割合）</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成約率</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65.0%（購入申込→成約確定）</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匿名配送利用率</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40.0%（成約件数に対する匿名配送選択率）</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匿名配送API導入時期</w:t>
            </w:r>
          </w:p>
        </w:tc>
        <w:tc>
          <w:tcPr>
            <w:tcW w:type="dxa" w:w="6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7"/>
                <w:szCs w:val="17"/>
              </w:rPr>
              <w:t xml:space="preserve">第3期（1年6ヶ月後）</w:t>
            </w:r>
          </w:p>
        </w:tc>
      </w:tr>
    </w:tbl>
    <w:p>
      <w:pPr>
        <w:spacing w:after="60" w:before="80"/>
      </w:pPr>
      <w:r>
        <w:t xml:space="preserve"/>
      </w:r>
    </w:p>
    <w:p>
      <w:pPr>
        <w:pStyle w:val="Heading2"/>
        <w:spacing w:after="100" w:before="300"/>
      </w:pPr>
      <w:r>
        <w:rPr>
          <w:rFonts w:ascii="Arial" w:cs="Arial" w:eastAsia="Arial" w:hAnsi="Arial"/>
          <w:b/>
          <w:bCs/>
          <w:color w:val="1A2A3A"/>
          <w:sz w:val="26"/>
          <w:szCs w:val="26"/>
        </w:rPr>
        <w:t xml:space="preserve">成長戦略</w:t>
      </w:r>
    </w:p>
    <w:p>
      <w:pPr>
        <w:pStyle w:val="ListParagraph"/>
        <w:numPr>
          <w:ilvl w:val="0"/>
          <w:numId w:val="2"/>
        </w:numPr>
        <w:spacing w:after="40" w:before="40"/>
      </w:pPr>
      <w:r>
        <w:rPr>
          <w:rFonts w:ascii="Arial" w:cs="Arial" w:eastAsia="Arial" w:hAnsi="Arial"/>
          <w:color w:val="231815"/>
          <w:sz w:val="19"/>
          <w:szCs w:val="19"/>
        </w:rPr>
        <w:t xml:space="preserve">Instagramリール・有料広告でクリエイター・ギャラリー双方への認知を加速</w:t>
      </w:r>
    </w:p>
    <w:p>
      <w:pPr>
        <w:pStyle w:val="ListParagraph"/>
        <w:numPr>
          <w:ilvl w:val="0"/>
          <w:numId w:val="2"/>
        </w:numPr>
        <w:spacing w:after="40" w:before="40"/>
      </w:pPr>
      <w:r>
        <w:rPr>
          <w:rFonts w:ascii="Arial" w:cs="Arial" w:eastAsia="Arial" w:hAnsi="Arial"/>
          <w:color w:val="231815"/>
          <w:sz w:val="19"/>
          <w:szCs w:val="19"/>
        </w:rPr>
        <w:t xml:space="preserve">主要ギャラリーとのパートナー契約で信頼性とブランド力を早期確立</w:t>
      </w:r>
    </w:p>
    <w:p>
      <w:pPr>
        <w:pStyle w:val="ListParagraph"/>
        <w:numPr>
          <w:ilvl w:val="0"/>
          <w:numId w:val="2"/>
        </w:numPr>
        <w:spacing w:after="40" w:before="40"/>
      </w:pPr>
      <w:r>
        <w:rPr>
          <w:rFonts w:ascii="Arial" w:cs="Arial" w:eastAsia="Arial" w:hAnsi="Arial"/>
          <w:color w:val="231815"/>
          <w:sz w:val="19"/>
          <w:szCs w:val="19"/>
        </w:rPr>
        <w:t xml:space="preserve">匿名配送をPhase2（1年6ヶ月後）に早期導入し、競合との差別化を明確化</w:t>
      </w:r>
    </w:p>
    <w:p>
      <w:pPr>
        <w:pStyle w:val="ListParagraph"/>
        <w:numPr>
          <w:ilvl w:val="0"/>
          <w:numId w:val="2"/>
        </w:numPr>
        <w:spacing w:after="40" w:before="40"/>
      </w:pPr>
      <w:r>
        <w:rPr>
          <w:rFonts w:ascii="Arial" w:cs="Arial" w:eastAsia="Arial" w:hAnsi="Arial"/>
          <w:color w:val="231815"/>
          <w:sz w:val="19"/>
          <w:szCs w:val="19"/>
        </w:rPr>
        <w:t xml:space="preserve">高額作品出品者向けの招待制βプログラムで口コミ拡散を促進</w:t>
      </w:r>
    </w:p>
    <w:p>
      <w:pPr>
        <w:spacing w:after="60" w:before="120"/>
      </w:pPr>
      <w:r>
        <w:t xml:space="preserve"/>
      </w:r>
    </w:p>
    <w:p>
      <w:pPr>
        <w:pStyle w:val="Heading2"/>
        <w:spacing w:after="100" w:before="300"/>
      </w:pPr>
      <w:r>
        <w:rPr>
          <w:rFonts w:ascii="Arial" w:cs="Arial" w:eastAsia="Arial" w:hAnsi="Arial"/>
          <w:b/>
          <w:bCs/>
          <w:color w:val="1A2A3A"/>
          <w:sz w:val="26"/>
          <w:szCs w:val="26"/>
        </w:rPr>
        <w:t xml:space="preserve">半期別シミュレーション</w:t>
      </w:r>
    </w:p>
    <w:p>
      <w:pPr>
        <w:spacing w:after="60" w:before="60"/>
      </w:pPr>
      <w:r>
        <w:rPr>
          <w:rFonts w:ascii="Arial" w:cs="Arial" w:eastAsia="Arial" w:hAnsi="Arial"/>
          <w:i/>
          <w:iCs/>
          <w:color w:val="7A8A99"/>
          <w:sz w:val="16"/>
          <w:szCs w:val="16"/>
        </w:rPr>
        <w:t xml:space="preserve">※ 申込率＝その期末時点での母集団800人に対するリエゾンプラス申込者の割合</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620"/>
        <w:gridCol w:w="560"/>
        <w:gridCol w:w="560"/>
        <w:gridCol w:w="870"/>
        <w:gridCol w:w="870"/>
        <w:gridCol w:w="820"/>
        <w:gridCol w:w="820"/>
        <w:gridCol w:w="870"/>
        <w:gridCol w:w="750"/>
      </w:tblGrid>
      <w:tr>
        <w:trPr>
          <w:tblHeader/>
        </w:trPr>
        <w:tc>
          <w:tcPr>
            <w:tcW w:type="dxa" w:w="8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期</w:t>
            </w:r>
          </w:p>
        </w:tc>
        <w:tc>
          <w:tcPr>
            <w:tcW w:type="dxa" w:w="6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申込率</w:t>
            </w:r>
          </w:p>
        </w:tc>
        <w:tc>
          <w:tcPr>
            <w:tcW w:type="dxa" w:w="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出品者
クリエイター</w:t>
            </w:r>
          </w:p>
        </w:tc>
        <w:tc>
          <w:tcPr>
            <w:tcW w:type="dxa" w:w="5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出品者
ギャラリー</w:t>
            </w:r>
          </w:p>
        </w:tc>
        <w:tc>
          <w:tcPr>
            <w:tcW w:type="dxa" w:w="87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成約件数</w:t>
            </w:r>
          </w:p>
        </w:tc>
        <w:tc>
          <w:tcPr>
            <w:tcW w:type="dxa" w:w="87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取引総額
GMV</w:t>
            </w:r>
          </w:p>
        </w:tc>
        <w:tc>
          <w:tcPr>
            <w:tcW w:type="dxa" w:w="8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個展なび
収入</w:t>
            </w:r>
          </w:p>
        </w:tc>
        <w:tc>
          <w:tcPr>
            <w:tcW w:type="dxa" w:w="82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Stripe
手数料</w:t>
            </w:r>
          </w:p>
        </w:tc>
        <w:tc>
          <w:tcPr>
            <w:tcW w:type="dxa" w:w="87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匿名配送
コスト計</w:t>
            </w:r>
          </w:p>
        </w:tc>
        <w:tc>
          <w:tcPr>
            <w:tcW w:type="dxa" w:w="75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営業利益</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1年前半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13.0%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78人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26人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254件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¥14,503,400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¥1,290,803</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-¥522,122</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¥768,681</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1年後半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22.0%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132人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44人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429件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¥24,495,900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¥2,180,135</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-¥881,852</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¥1,298,283</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2年前半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30.0%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180人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60人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585件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¥33,403,500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¥2,972,912</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-¥1,202,526</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-¥452,340</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¥1,318,046</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2年後半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38.0%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228人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76人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741件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¥42,311,100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¥3,765,688</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-¥1,523,200</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-¥302,964</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¥1,939,524</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3年前半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47.0%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282人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94人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917件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¥52,360,700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¥4,660,102</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-¥1,884,985</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-¥303,668</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¥2,471,449</w:t>
            </w:r>
          </w:p>
        </w:tc>
      </w:tr>
      <w:tr>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6"/>
                <w:szCs w:val="16"/>
              </w:rPr>
              <w:t xml:space="preserve">3年後半</w:t>
            </w:r>
          </w:p>
        </w:tc>
        <w:tc>
          <w:tcPr>
            <w:tcW w:type="dxa" w:w="6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6"/>
                <w:szCs w:val="16"/>
              </w:rPr>
              <w:t xml:space="preserve">55.0%</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330人</w:t>
            </w:r>
          </w:p>
        </w:tc>
        <w:tc>
          <w:tcPr>
            <w:tcW w:type="dxa" w:w="5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110人</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1,073件</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¥61,268,300</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¥5,452,879</w:t>
            </w:r>
          </w:p>
        </w:tc>
        <w:tc>
          <w:tcPr>
            <w:tcW w:type="dxa" w:w="82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-¥2,205,659</w:t>
            </w:r>
          </w:p>
        </w:tc>
        <w:tc>
          <w:tcPr>
            <w:tcW w:type="dxa" w:w="87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C0392B"/>
                <w:sz w:val="17"/>
                <w:szCs w:val="17"/>
              </w:rPr>
              <w:t xml:space="preserve">-¥304,292</w:t>
            </w:r>
          </w:p>
        </w:tc>
        <w:tc>
          <w:tcPr>
            <w:tcW w:type="dxa" w:w="75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¥2,942,928</w:t>
            </w:r>
          </w:p>
        </w:tc>
      </w:tr>
      <w:tr>
        <w:tc>
          <w:tcPr>
            <w:tcW w:type="dxa" w:w="8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8"/>
                <w:szCs w:val="18"/>
              </w:rPr>
              <w:t xml:space="preserve">3年累計</w:t>
            </w:r>
          </w:p>
        </w:tc>
        <w:tc>
          <w:tcPr>
            <w:tcW w:type="dxa" w:w="6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c>
          <w:tcPr>
            <w:tcW w:type="dxa" w:w="56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c>
          <w:tcPr>
            <w:tcW w:type="dxa" w:w="56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c>
          <w:tcPr>
            <w:tcW w:type="dxa" w:w="87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231815"/>
                <w:sz w:val="18"/>
                <w:szCs w:val="18"/>
              </w:rPr>
              <w:t xml:space="preserve">3,999件</w:t>
            </w:r>
          </w:p>
        </w:tc>
        <w:tc>
          <w:tcPr>
            <w:tcW w:type="dxa" w:w="87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231815"/>
                <w:sz w:val="18"/>
                <w:szCs w:val="18"/>
              </w:rPr>
              <w:t xml:space="preserve">¥228,342,900</w:t>
            </w:r>
          </w:p>
        </w:tc>
        <w:tc>
          <w:tcPr>
            <w:tcW w:type="dxa" w:w="8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231815"/>
                <w:sz w:val="18"/>
                <w:szCs w:val="18"/>
              </w:rPr>
              <w:t xml:space="preserve">¥20,322,519</w:t>
            </w:r>
          </w:p>
        </w:tc>
        <w:tc>
          <w:tcPr>
            <w:tcW w:type="dxa" w:w="82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C0392B"/>
                <w:sz w:val="18"/>
                <w:szCs w:val="18"/>
              </w:rPr>
              <w:t xml:space="preserve">-¥8,220,344</w:t>
            </w:r>
          </w:p>
        </w:tc>
        <w:tc>
          <w:tcPr>
            <w:tcW w:type="dxa" w:w="870"/>
            <w:gridSpan w:val="1"/>
            <w:tcBorders>
              <w:top w:val="single" w:color="D0DAE4" w:sz="1"/>
              <w:left w:val="single" w:color="D0DAE4" w:sz="1"/>
              <w:bottom w:val="single" w:color="D0DAE4" w:sz="1"/>
              <w:right w:val="single" w:color="D0DAE4" w:sz="1"/>
            </w:tcBorders>
            <w:shd w:fill="F0F4F8" w:val="clear"/>
            <w:tcMar>
              <w:top w:type="dxa" w:w="70"/>
              <w:left w:type="dxa" w:w="110"/>
              <w:bottom w:type="dxa" w:w="70"/>
              <w:right w:type="dxa" w:w="110"/>
            </w:tcMar>
            <w:vAlign w:val="center"/>
          </w:tcPr>
          <w:p>
            <w:pPr>
              <w:jc w:val="right"/>
            </w:pPr>
            <w:r>
              <w:rPr>
                <w:rFonts w:ascii="Arial" w:cs="Arial" w:eastAsia="Arial" w:hAnsi="Arial"/>
                <w:b/>
                <w:bCs/>
                <w:i w:val="false"/>
                <w:iCs w:val="false"/>
                <w:color w:val="C0392B"/>
                <w:sz w:val="18"/>
                <w:szCs w:val="18"/>
              </w:rPr>
              <w:t xml:space="preserve">-¥1,363,264</w:t>
            </w:r>
          </w:p>
        </w:tc>
        <w:tc>
          <w:tcPr>
            <w:tcW w:type="dxa" w:w="750"/>
            <w:gridSpan w:val="1"/>
            <w:tcBorders>
              <w:top w:val="single" w:color="D0DAE4" w:sz="1"/>
              <w:left w:val="single" w:color="D0DAE4" w:sz="1"/>
              <w:bottom w:val="single" w:color="D0DAE4" w:sz="1"/>
              <w:right w:val="single" w:color="D0DAE4" w:sz="1"/>
            </w:tcBorders>
            <w:shd w:fill="E8F5EE"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8"/>
                <w:szCs w:val="18"/>
              </w:rPr>
              <w:t xml:space="preserve">¥10,738,911</w:t>
            </w:r>
          </w:p>
        </w:tc>
      </w:tr>
    </w:tbl>
    <w:p>
      <w:pPr>
        <w:spacing w:after="60" w:before="120"/>
      </w:pPr>
      <w:r>
        <w:t xml:space="preserve"/>
      </w:r>
    </w:p>
    <w:p>
      <w:pPr>
        <w:pStyle w:val="Heading2"/>
        <w:spacing w:after="100" w:before="300"/>
      </w:pPr>
      <w:r>
        <w:rPr>
          <w:rFonts w:ascii="Arial" w:cs="Arial" w:eastAsia="Arial" w:hAnsi="Arial"/>
          <w:b/>
          <w:bCs/>
          <w:color w:val="1A2A3A"/>
          <w:sz w:val="26"/>
          <w:szCs w:val="26"/>
        </w:rPr>
        <w:t xml:space="preserve">3年間 主要KPI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KPI</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1年目末</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2年目末</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3年目末</w:t>
            </w:r>
          </w:p>
        </w:tc>
        <w:tc>
          <w:tcPr>
            <w:tcW w:type="dxa" w:w="164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申込出品者数（合計）</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176人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304人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440人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7A8A99"/>
                <w:sz w:val="18"/>
                <w:szCs w:val="18"/>
              </w:rPr>
              <w:t xml:space="preserve">　うちクリエイター</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132人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228人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330人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7A8A99"/>
                <w:sz w:val="18"/>
                <w:szCs w:val="18"/>
              </w:rPr>
              <w:t xml:space="preserve">　うちギャラリー</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44人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76人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110人</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半期成約件数</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429件</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741件</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1,073件</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3,999件</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取引総額（GMV）</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¥38,999,300</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¥114,713,900</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¥113,629,000</w:t>
            </w:r>
          </w:p>
        </w:tc>
        <w:tc>
          <w:tcPr>
            <w:tcW w:type="dxa" w:w="164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¥228,342,900</w:t>
            </w:r>
          </w:p>
        </w:tc>
      </w:tr>
      <w:tr>
        <w:tc>
          <w:tcPr>
            <w:tcW w:type="dxa" w:w="28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営業利益（Stripe+匿名配送控除後）</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¥2,066,964</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¥5,324,534</w:t>
            </w:r>
          </w:p>
        </w:tc>
        <w:tc>
          <w:tcPr>
            <w:tcW w:type="dxa" w:w="164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¥5,414,377</w:t>
            </w:r>
          </w:p>
        </w:tc>
        <w:tc>
          <w:tcPr>
            <w:tcW w:type="dxa" w:w="164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¥10,738,911</w:t>
            </w:r>
          </w:p>
        </w:tc>
      </w:tr>
    </w:tbl>
    <w:p>
      <w:pPr>
        <w:spacing w:after="60" w:before="120"/>
      </w:pPr>
      <w:r>
        <w:t xml:space="preserve"/>
      </w:r>
    </w:p>
    <w:p>
      <w:r>
        <w:br w:type="page"/>
      </w:r>
    </w:p>
    <w:p>
      <w:pPr>
        <w:pStyle w:val="Heading1"/>
        <w:pBdr>
          <w:bottom w:val="single" w:color="B87C10" w:sz="8" w:space="4"/>
        </w:pBdr>
        <w:spacing w:after="160" w:before="400"/>
      </w:pPr>
      <w:r>
        <w:rPr>
          <w:rFonts w:ascii="Arial" w:cs="Arial" w:eastAsia="Arial" w:hAnsi="Arial"/>
          <w:b/>
          <w:bCs/>
          <w:color w:val="1A2A3A"/>
          <w:sz w:val="36"/>
          <w:szCs w:val="36"/>
        </w:rPr>
        <w:t xml:space="preserve">6. 戦略比較と推奨</w:t>
      </w:r>
    </w:p>
    <w:p>
      <w:pPr>
        <w:pStyle w:val="Heading2"/>
        <w:spacing w:after="100" w:before="300"/>
      </w:pPr>
      <w:r>
        <w:rPr>
          <w:rFonts w:ascii="Arial" w:cs="Arial" w:eastAsia="Arial" w:hAnsi="Arial"/>
          <w:b/>
          <w:bCs/>
          <w:color w:val="1A2A3A"/>
          <w:sz w:val="26"/>
          <w:szCs w:val="26"/>
        </w:rPr>
        <w:t xml:space="preserve">6-1. 3シナリオ比較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000"/>
        <w:gridCol w:w="3260"/>
      </w:tblGrid>
      <w:tr>
        <w:trPr>
          <w:tblHeader/>
        </w:trPr>
        <w:tc>
          <w:tcPr>
            <w:tcW w:type="dxa" w:w="17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シナリオ</w:t>
            </w:r>
          </w:p>
        </w:tc>
        <w:tc>
          <w:tcPr>
            <w:tcW w:type="dxa" w:w="14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3年累計GMV</w:t>
            </w:r>
          </w:p>
        </w:tc>
        <w:tc>
          <w:tcPr>
            <w:tcW w:type="dxa" w:w="14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3年累計利益</w:t>
            </w:r>
          </w:p>
        </w:tc>
        <w:tc>
          <w:tcPr>
            <w:tcW w:type="dxa" w:w="14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3年末申込率</w:t>
            </w:r>
          </w:p>
        </w:tc>
        <w:tc>
          <w:tcPr>
            <w:tcW w:type="dxa" w:w="10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リスク</w:t>
            </w:r>
          </w:p>
        </w:tc>
        <w:tc>
          <w:tcPr>
            <w:tcW w:type="dxa" w:w="326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主要施策（要約）</w:t>
            </w:r>
          </w:p>
        </w:tc>
      </w:tr>
      <w:tr>
        <w:tc>
          <w:tcPr>
            <w:tcW w:type="dxa" w:w="17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8"/>
                <w:szCs w:val="18"/>
              </w:rPr>
              <w:t xml:space="preserve">保守シナリオ</w:t>
            </w:r>
          </w:p>
        </w:tc>
        <w:tc>
          <w:tcPr>
            <w:tcW w:type="dxa" w:w="140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¥51,447,100</w:t>
            </w:r>
          </w:p>
        </w:tc>
        <w:tc>
          <w:tcPr>
            <w:tcW w:type="dxa" w:w="140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¥1,675,411</w:t>
            </w:r>
          </w:p>
        </w:tc>
        <w:tc>
          <w:tcPr>
            <w:tcW w:type="dxa" w:w="14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16.0%（3年末）</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1A7A3E"/>
                <w:sz w:val="18"/>
                <w:szCs w:val="18"/>
              </w:rPr>
              <w:t xml:space="preserve">低</w:t>
            </w:r>
          </w:p>
        </w:tc>
        <w:tc>
          <w:tcPr>
            <w:tcW w:type="dxa" w:w="32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既存の個展なびクリエイター・ギャラリーへのプッシュ通知・メール案内で低コスト獲得…</w:t>
            </w:r>
          </w:p>
        </w:tc>
      </w:tr>
      <w:tr>
        <w:tc>
          <w:tcPr>
            <w:tcW w:type="dxa" w:w="17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8"/>
                <w:szCs w:val="18"/>
              </w:rPr>
              <w:t xml:space="preserve">標準シナリオ</w:t>
            </w:r>
          </w:p>
        </w:tc>
        <w:tc>
          <w:tcPr>
            <w:tcW w:type="dxa" w:w="140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¥120,252,600</w:t>
            </w:r>
          </w:p>
        </w:tc>
        <w:tc>
          <w:tcPr>
            <w:tcW w:type="dxa" w:w="140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¥5,018,091</w:t>
            </w:r>
          </w:p>
        </w:tc>
        <w:tc>
          <w:tcPr>
            <w:tcW w:type="dxa" w:w="14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32.0%（3年末）</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B87C10"/>
                <w:sz w:val="18"/>
                <w:szCs w:val="18"/>
              </w:rPr>
              <w:t xml:space="preserve">中</w:t>
            </w:r>
          </w:p>
        </w:tc>
        <w:tc>
          <w:tcPr>
            <w:tcW w:type="dxa" w:w="32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ギャラリーへの早期展開（ローンチ後すぐ）でGMVの底上げを図る…</w:t>
            </w:r>
          </w:p>
        </w:tc>
      </w:tr>
      <w:tr>
        <w:tc>
          <w:tcPr>
            <w:tcW w:type="dxa" w:w="17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231815"/>
                <w:sz w:val="18"/>
                <w:szCs w:val="18"/>
              </w:rPr>
              <w:t xml:space="preserve">積極シナリオ</w:t>
            </w:r>
          </w:p>
        </w:tc>
        <w:tc>
          <w:tcPr>
            <w:tcW w:type="dxa" w:w="140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¥228,342,900</w:t>
            </w:r>
          </w:p>
        </w:tc>
        <w:tc>
          <w:tcPr>
            <w:tcW w:type="dxa" w:w="1400"/>
            <w:gridSpan w:val="1"/>
            <w:tcBorders>
              <w:top w:val="single" w:color="D0DAE4" w:sz="1"/>
              <w:left w:val="single" w:color="D0DAE4" w:sz="1"/>
              <w:bottom w:val="single" w:color="D0DAE4" w:sz="1"/>
              <w:right w:val="single" w:color="D0DAE4" w:sz="1"/>
            </w:tcBorders>
            <w:shd w:fill="F7FDF9" w:val="clear"/>
            <w:tcMar>
              <w:top w:type="dxa" w:w="70"/>
              <w:left w:type="dxa" w:w="110"/>
              <w:bottom w:type="dxa" w:w="70"/>
              <w:right w:type="dxa" w:w="110"/>
            </w:tcMar>
            <w:vAlign w:val="center"/>
          </w:tcPr>
          <w:p>
            <w:pPr>
              <w:jc w:val="right"/>
            </w:pPr>
            <w:r>
              <w:rPr>
                <w:rFonts w:ascii="Arial" w:cs="Arial" w:eastAsia="Arial" w:hAnsi="Arial"/>
                <w:b/>
                <w:bCs/>
                <w:i w:val="false"/>
                <w:iCs w:val="false"/>
                <w:color w:val="1A7A3E"/>
                <w:sz w:val="17"/>
                <w:szCs w:val="17"/>
              </w:rPr>
              <w:t xml:space="preserve">¥10,738,911</w:t>
            </w:r>
          </w:p>
        </w:tc>
        <w:tc>
          <w:tcPr>
            <w:tcW w:type="dxa" w:w="14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right"/>
            </w:pPr>
            <w:r>
              <w:rPr>
                <w:rFonts w:ascii="Arial" w:cs="Arial" w:eastAsia="Arial" w:hAnsi="Arial"/>
                <w:b w:val="false"/>
                <w:bCs w:val="false"/>
                <w:i w:val="false"/>
                <w:iCs w:val="false"/>
                <w:color w:val="231815"/>
                <w:sz w:val="17"/>
                <w:szCs w:val="17"/>
              </w:rPr>
              <w:t xml:space="preserve">55.0%（3年末）</w:t>
            </w:r>
          </w:p>
        </w:tc>
        <w:tc>
          <w:tcPr>
            <w:tcW w:type="dxa" w:w="10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bCs/>
                <w:i w:val="false"/>
                <w:iCs w:val="false"/>
                <w:color w:val="C0392B"/>
                <w:sz w:val="18"/>
                <w:szCs w:val="18"/>
              </w:rPr>
              <w:t xml:space="preserve">高</w:t>
            </w:r>
          </w:p>
        </w:tc>
        <w:tc>
          <w:tcPr>
            <w:tcW w:type="dxa" w:w="326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6"/>
                <w:szCs w:val="16"/>
              </w:rPr>
              <w:t xml:space="preserve">Instagramリール・有料広告でクリエイター・ギャラリー双方への認知を加速…</w:t>
            </w:r>
          </w:p>
        </w:tc>
      </w:tr>
    </w:tbl>
    <w:p>
      <w:pPr>
        <w:spacing w:after="60" w:before="120"/>
      </w:pPr>
      <w:r>
        <w:t xml:space="preserve"/>
      </w:r>
    </w:p>
    <w:p>
      <w:pPr>
        <w:pStyle w:val="Heading2"/>
        <w:spacing w:after="100" w:before="300"/>
      </w:pPr>
      <w:r>
        <w:rPr>
          <w:rFonts w:ascii="Arial" w:cs="Arial" w:eastAsia="Arial" w:hAnsi="Arial"/>
          <w:b/>
          <w:bCs/>
          <w:color w:val="1A2A3A"/>
          <w:sz w:val="26"/>
          <w:szCs w:val="26"/>
        </w:rPr>
        <w:t xml:space="preserve">6-2. 推奨：アダプティブ運営</w:t>
      </w:r>
    </w:p>
    <w:p>
      <w:pPr>
        <w:pBdr>
          <w:left w:val="single" w:color="B87C10" w:sz="14" w:space="8"/>
        </w:pBdr>
        <w:shd w:fill="FDF6E3" w:val="clear"/>
        <w:spacing w:after="100" w:before="100"/>
        <w:ind w:left="200"/>
      </w:pPr>
      <w:r>
        <w:rPr>
          <w:rFonts w:ascii="Arial" w:cs="Arial" w:eastAsia="Arial" w:hAnsi="Arial"/>
          <w:color w:val="231815"/>
          <w:sz w:val="19"/>
          <w:szCs w:val="19"/>
        </w:rPr>
        <w:t xml:space="preserve">初期は「標準シナリオ」を基準に運営し、四半期ごとに申込者数・成約率を評価。計画比+20%以上なら積極シナリオへ引き上げ、計画比-20%以下なら保守シナリオのコスト管理に切り替えるアダプティブ運営を推奨します。</w:t>
      </w:r>
    </w:p>
    <w:p>
      <w:pPr>
        <w:spacing w:after="60" w:before="120"/>
      </w:pPr>
      <w:r>
        <w:t xml:space="preserve"/>
      </w:r>
    </w:p>
    <w:p>
      <w:pPr>
        <w:pStyle w:val="Heading2"/>
        <w:spacing w:after="100" w:before="300"/>
      </w:pPr>
      <w:r>
        <w:rPr>
          <w:rFonts w:ascii="Arial" w:cs="Arial" w:eastAsia="Arial" w:hAnsi="Arial"/>
          <w:b/>
          <w:bCs/>
          <w:color w:val="1A2A3A"/>
          <w:sz w:val="26"/>
          <w:szCs w:val="26"/>
        </w:rPr>
        <w:t xml:space="preserve">6-3. 匿名配送API 導入判断基準</w:t>
      </w:r>
    </w:p>
    <w:p>
      <w:pPr>
        <w:spacing w:after="60" w:before="60"/>
        <w:jc w:val="left"/>
      </w:pPr>
      <w:r>
        <w:rPr>
          <w:rFonts w:ascii="Arial" w:cs="Arial" w:eastAsia="Arial" w:hAnsi="Arial"/>
          <w:b w:val="false"/>
          <w:bCs w:val="false"/>
          <w:color w:val="231815"/>
          <w:sz w:val="20"/>
          <w:szCs w:val="20"/>
        </w:rPr>
        <w:t xml:space="preserve">固定コスト（¥50,000/月）が発生するため、以下の条件を満たしてから導入を推奨します。</w:t>
      </w:r>
    </w:p>
    <w:p>
      <w:pPr>
        <w:pStyle w:val="ListParagraph"/>
        <w:numPr>
          <w:ilvl w:val="0"/>
          <w:numId w:val="2"/>
        </w:numPr>
        <w:spacing w:after="40" w:before="40"/>
      </w:pPr>
      <w:r>
        <w:rPr>
          <w:rFonts w:ascii="Arial" w:cs="Arial" w:eastAsia="Arial" w:hAnsi="Arial"/>
          <w:color w:val="231815"/>
          <w:sz w:val="19"/>
          <w:szCs w:val="19"/>
        </w:rPr>
        <w:t xml:space="preserve">月次営業利益（Stripe控除後）が¥200,000以上を3ヶ月連続で達成</w:t>
      </w:r>
    </w:p>
    <w:p>
      <w:pPr>
        <w:pStyle w:val="ListParagraph"/>
        <w:numPr>
          <w:ilvl w:val="0"/>
          <w:numId w:val="2"/>
        </w:numPr>
        <w:spacing w:after="40" w:before="40"/>
      </w:pPr>
      <w:r>
        <w:rPr>
          <w:rFonts w:ascii="Arial" w:cs="Arial" w:eastAsia="Arial" w:hAnsi="Arial"/>
          <w:color w:val="231815"/>
          <w:sz w:val="19"/>
          <w:szCs w:val="19"/>
        </w:rPr>
        <w:t xml:space="preserve">半期成約件数が100件以上（¥50,000/月の固定費を成約件数で分散できるライン）</w:t>
      </w:r>
    </w:p>
    <w:p>
      <w:pPr>
        <w:pStyle w:val="ListParagraph"/>
        <w:numPr>
          <w:ilvl w:val="0"/>
          <w:numId w:val="2"/>
        </w:numPr>
        <w:spacing w:after="40" w:before="40"/>
      </w:pPr>
      <w:r>
        <w:rPr>
          <w:rFonts w:ascii="Arial" w:cs="Arial" w:eastAsia="Arial" w:hAnsi="Arial"/>
          <w:color w:val="231815"/>
          <w:sz w:val="19"/>
          <w:szCs w:val="19"/>
        </w:rPr>
        <w:t xml:space="preserve">出品者アンケートで匿名配送ニーズが60%以上</w:t>
      </w:r>
    </w:p>
    <w:p>
      <w:pPr>
        <w:spacing w:after="60" w:before="120"/>
      </w:pPr>
      <w:r>
        <w:t xml:space="preserve"/>
      </w:r>
    </w:p>
    <w:p>
      <w:pPr>
        <w:pStyle w:val="Heading2"/>
        <w:spacing w:after="100" w:before="300"/>
      </w:pPr>
      <w:r>
        <w:rPr>
          <w:rFonts w:ascii="Arial" w:cs="Arial" w:eastAsia="Arial" w:hAnsi="Arial"/>
          <w:b/>
          <w:bCs/>
          <w:color w:val="1A2A3A"/>
          <w:sz w:val="26"/>
          <w:szCs w:val="26"/>
        </w:rPr>
        <w:t xml:space="preserve">6-4. リスクと対策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3180"/>
        <w:gridCol w:w="3180"/>
      </w:tblGrid>
      <w:tr>
        <w:trPr>
          <w:tblHeader/>
        </w:trPr>
        <w:tc>
          <w:tcPr>
            <w:tcW w:type="dxa" w:w="3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No</w:t>
            </w:r>
          </w:p>
        </w:tc>
        <w:tc>
          <w:tcPr>
            <w:tcW w:type="dxa" w:w="270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リスク</w:t>
            </w:r>
          </w:p>
        </w:tc>
        <w:tc>
          <w:tcPr>
            <w:tcW w:type="dxa" w:w="318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影響</w:t>
            </w:r>
          </w:p>
        </w:tc>
        <w:tc>
          <w:tcPr>
            <w:tcW w:type="dxa" w:w="3180"/>
            <w:gridSpan w:val="1"/>
            <w:tcBorders>
              <w:top w:val="single" w:color="D0DAE4" w:sz="1"/>
              <w:left w:val="single" w:color="D0DAE4" w:sz="1"/>
              <w:bottom w:val="single" w:color="D0DAE4" w:sz="1"/>
              <w:right w:val="single" w:color="D0DAE4" w:sz="1"/>
            </w:tcBorders>
            <w:shd w:fill="1A2A3A" w:val="clear"/>
            <w:tcMar>
              <w:top w:type="dxa" w:w="70"/>
              <w:left w:type="dxa" w:w="110"/>
              <w:bottom w:type="dxa" w:w="70"/>
              <w:right w:type="dxa" w:w="110"/>
            </w:tcMar>
            <w:vAlign w:val="center"/>
          </w:tcPr>
          <w:p>
            <w:pPr>
              <w:jc w:val="center"/>
            </w:pPr>
            <w:r>
              <w:rPr>
                <w:rFonts w:ascii="Arial" w:cs="Arial" w:eastAsia="Arial" w:hAnsi="Arial"/>
                <w:b/>
                <w:bCs/>
                <w:i w:val="false"/>
                <w:iCs w:val="false"/>
                <w:color w:val="FFFFFF"/>
                <w:sz w:val="17"/>
                <w:szCs w:val="17"/>
              </w:rPr>
              <w:t xml:space="preserve">対策</w:t>
            </w:r>
          </w:p>
        </w:tc>
      </w:tr>
      <w:tr>
        <w:tc>
          <w:tcPr>
            <w:tcW w:type="dxa" w:w="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1</w:t>
            </w:r>
          </w:p>
        </w:tc>
        <w:tc>
          <w:tcPr>
            <w:tcW w:type="dxa" w:w="27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申込率が計画を大きく下回る</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GMV・収益が全シナリオで下振れ。匿名配送の固定費が重荷になる</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保守シナリオに切り替え、匿名配送の導入を延期。出品者への個別フォローを強化</w:t>
            </w:r>
          </w:p>
        </w:tc>
      </w:tr>
      <w:tr>
        <w:tc>
          <w:tcPr>
            <w:tcW w:type="dxa" w:w="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2</w:t>
            </w:r>
          </w:p>
        </w:tc>
        <w:tc>
          <w:tcPr>
            <w:tcW w:type="dxa" w:w="27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成約率の低迷（購入申込→成約が低い）</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件数が出ても収益に繋がらない。キュー管理の複雑さが原因の可能性</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在庫確認フローのUI改善・クリエイターへの販売状態更新リマインド通知強化</w:t>
            </w:r>
          </w:p>
        </w:tc>
      </w:tr>
      <w:tr>
        <w:tc>
          <w:tcPr>
            <w:tcW w:type="dxa" w:w="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3</w:t>
            </w:r>
          </w:p>
        </w:tc>
        <w:tc>
          <w:tcPr>
            <w:tcW w:type="dxa" w:w="27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匿名配送コストの想定超過</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運用費¥50,000/月の固定費が収益を圧迫。利用率が高いと変動費も増加</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導入判断基準を厳守。初期は匿名配送なしで検証を先行。ベンダー交渉で初期費用圧縮を図る</w:t>
            </w:r>
          </w:p>
        </w:tc>
      </w:tr>
      <w:tr>
        <w:tc>
          <w:tcPr>
            <w:tcW w:type="dxa" w:w="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4</w:t>
            </w:r>
          </w:p>
        </w:tc>
        <w:tc>
          <w:tcPr>
            <w:tcW w:type="dxa" w:w="27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Stripe手数料の改定（値上げ）</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実質マージンが圧縮。現在5.30%のバッファが縮小する</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Stripe契約条件のモニタリング。必要に応じて手数料体系を段階的に見直す</w:t>
            </w:r>
          </w:p>
        </w:tc>
      </w:tr>
      <w:tr>
        <w:tc>
          <w:tcPr>
            <w:tcW w:type="dxa" w:w="3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i w:val="false"/>
                <w:iCs w:val="false"/>
                <w:color w:val="231815"/>
                <w:sz w:val="18"/>
                <w:szCs w:val="18"/>
              </w:rPr>
              <w:t xml:space="preserve">5</w:t>
            </w:r>
          </w:p>
        </w:tc>
        <w:tc>
          <w:tcPr>
            <w:tcW w:type="dxa" w:w="270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競合（minne等）の展覧会連動機能参入</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LIAISON+の独自ポジションが失われ、出品者獲得コストが増加</w:t>
            </w:r>
          </w:p>
        </w:tc>
        <w:tc>
          <w:tcPr>
            <w:tcW w:type="dxa" w:w="3180"/>
            <w:gridSpan w:val="1"/>
            <w:tcBorders>
              <w:top w:val="single" w:color="D0DAE4" w:sz="1"/>
              <w:left w:val="single" w:color="D0DAE4" w:sz="1"/>
              <w:bottom w:val="single" w:color="D0DAE4" w:sz="1"/>
              <w:right w:val="single" w:color="D0DAE4"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231815"/>
                <w:sz w:val="18"/>
                <w:szCs w:val="18"/>
              </w:rPr>
              <w:t xml:space="preserve">Phase2の6%帯導入・匿名配送・キュー型購入フローなど個展なびならではの機能を先行実装</w:t>
            </w:r>
          </w:p>
        </w:tc>
      </w:tr>
    </w:tbl>
    <w:p>
      <w:pPr>
        <w:spacing w:after="60" w:before="120"/>
      </w:pPr>
      <w:r>
        <w:t xml:space="preserve"/>
      </w:r>
    </w:p>
    <w:p>
      <w:pPr>
        <w:pStyle w:val="Heading2"/>
        <w:spacing w:after="100" w:before="300"/>
      </w:pPr>
      <w:r>
        <w:rPr>
          <w:rFonts w:ascii="Arial" w:cs="Arial" w:eastAsia="Arial" w:hAnsi="Arial"/>
          <w:b/>
          <w:bCs/>
          <w:color w:val="1A2A3A"/>
          <w:sz w:val="26"/>
          <w:szCs w:val="26"/>
        </w:rPr>
        <w:t xml:space="preserve">6-5. 次のアクション</w:t>
      </w:r>
    </w:p>
    <w:p>
      <w:pPr>
        <w:pStyle w:val="ListParagraph"/>
        <w:numPr>
          <w:ilvl w:val="0"/>
          <w:numId w:val="2"/>
        </w:numPr>
        <w:spacing w:after="40" w:before="40"/>
      </w:pPr>
      <w:r>
        <w:rPr>
          <w:rFonts w:ascii="Arial" w:cs="Arial" w:eastAsia="Arial" w:hAnsi="Arial"/>
          <w:color w:val="231815"/>
          <w:sz w:val="19"/>
          <w:szCs w:val="19"/>
        </w:rPr>
        <w:t xml:space="preserve">クリエイター・ギャラリー双方を含むβテスト参加者（20〜30名）を選定し、出品〜成約フローを検証</w:t>
      </w:r>
    </w:p>
    <w:p>
      <w:pPr>
        <w:pStyle w:val="ListParagraph"/>
        <w:numPr>
          <w:ilvl w:val="0"/>
          <w:numId w:val="2"/>
        </w:numPr>
        <w:spacing w:after="40" w:before="40"/>
      </w:pPr>
      <w:r>
        <w:rPr>
          <w:rFonts w:ascii="Arial" w:cs="Arial" w:eastAsia="Arial" w:hAnsi="Arial"/>
          <w:color w:val="231815"/>
          <w:sz w:val="19"/>
          <w:szCs w:val="19"/>
        </w:rPr>
        <w:t xml:space="preserve">ギャラリーユーザーへの個別ヒアリング実施（展覧会連動・複数作品出品ニーズの確認）</w:t>
      </w:r>
    </w:p>
    <w:p>
      <w:pPr>
        <w:pStyle w:val="ListParagraph"/>
        <w:numPr>
          <w:ilvl w:val="0"/>
          <w:numId w:val="2"/>
        </w:numPr>
        <w:spacing w:after="40" w:before="40"/>
      </w:pPr>
      <w:r>
        <w:rPr>
          <w:rFonts w:ascii="Arial" w:cs="Arial" w:eastAsia="Arial" w:hAnsi="Arial"/>
          <w:color w:val="231815"/>
          <w:sz w:val="19"/>
          <w:szCs w:val="19"/>
        </w:rPr>
        <w:t xml:space="preserve">匿名配送APIベンダーとの仮契約交渉（初期費用¥150,000の上限・分割払い交渉）</w:t>
      </w:r>
    </w:p>
    <w:p>
      <w:pPr>
        <w:pStyle w:val="ListParagraph"/>
        <w:numPr>
          <w:ilvl w:val="0"/>
          <w:numId w:val="2"/>
        </w:numPr>
        <w:spacing w:after="40" w:before="40"/>
      </w:pPr>
      <w:r>
        <w:rPr>
          <w:rFonts w:ascii="Arial" w:cs="Arial" w:eastAsia="Arial" w:hAnsi="Arial"/>
          <w:color w:val="231815"/>
          <w:sz w:val="19"/>
          <w:szCs w:val="19"/>
        </w:rPr>
        <w:t xml:space="preserve">Stripe Connect設定・振込フロー実装・特定商取引法ページ整備</w:t>
      </w:r>
    </w:p>
    <w:p>
      <w:pPr>
        <w:pStyle w:val="ListParagraph"/>
        <w:numPr>
          <w:ilvl w:val="0"/>
          <w:numId w:val="2"/>
        </w:numPr>
        <w:spacing w:after="40" w:before="40"/>
      </w:pPr>
      <w:r>
        <w:rPr>
          <w:rFonts w:ascii="Arial" w:cs="Arial" w:eastAsia="Arial" w:hAnsi="Arial"/>
          <w:color w:val="231815"/>
          <w:sz w:val="19"/>
          <w:szCs w:val="19"/>
        </w:rPr>
        <w:t xml:space="preserve">P70-7「リエゾンプラスの手数料について」ページを公開してクリエイター・ギャラリーへ周知</w:t>
      </w:r>
    </w:p>
    <w:p>
      <w:pPr>
        <w:spacing w:after="60" w:before="120"/>
      </w:pPr>
      <w:r>
        <w:t xml:space="preserve"/>
      </w:r>
    </w:p>
    <w:p>
      <w:pPr>
        <w:pBdr>
          <w:left w:val="single" w:color="005DA7" w:sz="14" w:space="8"/>
        </w:pBdr>
        <w:shd w:fill="E8F2FA" w:val="clear"/>
        <w:spacing w:after="100" w:before="100"/>
        <w:ind w:left="200"/>
      </w:pPr>
      <w:r>
        <w:rPr>
          <w:rFonts w:ascii="Arial" w:cs="Arial" w:eastAsia="Arial" w:hAnsi="Arial"/>
          <w:color w:val="231815"/>
          <w:sz w:val="19"/>
          <w:szCs w:val="19"/>
        </w:rPr>
        <w:t xml:space="preserve">本ビジネスプランは人件費・開発費・マーケティング費・サーバー費を含まない収益試算です。実際の損益分岐点算出には、これらの固定費を別途算入の上で再試算を行ってください。</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4" w:sz="2" w:space="4"/>
      </w:pBdr>
      <w:spacing w:after="0" w:before="80"/>
      <w:jc w:val="right"/>
    </w:pPr>
    <w:r>
      <w:rPr>
        <w:rFonts w:ascii="Arial" w:cs="Arial" w:eastAsia="Arial" w:hAnsi="Arial"/>
        <w:color w:val="7A8A99"/>
        <w:sz w:val="16"/>
        <w:szCs w:val="16"/>
      </w:rPr>
      <w:t xml:space="preserve">- </w:t>
    </w:r>
    <w:r>
      <w:rPr>
        <w:rFonts w:ascii="Arial" w:cs="Arial" w:eastAsia="Arial" w:hAnsi="Arial"/>
        <w:color w:val="7A8A99"/>
        <w:sz w:val="16"/>
        <w:szCs w:val="16"/>
      </w:rPr>
      <w:fldChar w:fldCharType="begin"/>
      <w:instrText xml:space="preserve">PAGE</w:instrText>
      <w:fldChar w:fldCharType="separate"/>
      <w:fldChar w:fldCharType="end"/>
    </w:r>
    <w:r>
      <w:rPr>
        <w:rFonts w:ascii="Arial" w:cs="Arial" w:eastAsia="Arial" w:hAnsi="Arial"/>
        <w:color w:val="7A8A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7C10" w:sz="4" w:space="4"/>
      </w:pBdr>
      <w:tabs>
        <w:tab w:val="right" w:pos="9026"/>
      </w:tabs>
      <w:spacing w:after="80" w:before="0"/>
    </w:pPr>
    <w:r>
      <w:rPr>
        <w:rFonts w:ascii="Arial" w:cs="Arial" w:eastAsia="Arial" w:hAnsi="Arial"/>
        <w:color w:val="7A8A99"/>
        <w:sz w:val="16"/>
        <w:szCs w:val="16"/>
      </w:rPr>
      <w:t xml:space="preserve">LIAISON+  Business Plan  Ver.2</w:t>
    </w:r>
    <w:r>
      <w:rPr>
        <w:rFonts w:ascii="Arial" w:cs="Arial" w:eastAsia="Arial" w:hAnsi="Arial"/>
        <w:sz w:val="16"/>
        <w:szCs w:val="16"/>
      </w:rPr>
      <w:t xml:space="preserve">	</w:t>
    </w:r>
    <w:r>
      <w:rPr>
        <w:rFonts w:ascii="Arial" w:cs="Arial" w:eastAsia="Arial" w:hAnsi="Arial"/>
        <w:color w:val="7A8A99"/>
        <w:sz w:val="16"/>
        <w:szCs w:val="16"/>
      </w:rPr>
      <w:t xml:space="preserve">個展なびリデザインプロジェクト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A3A"/>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2A3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42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2026-04-25T10:07:27.235Z</dcterms:created>
  <dcterms:modified xsi:type="dcterms:W3CDTF">2026-04-25T10:07:27.235Z</dcterms:modified>
</cp:coreProperties>
</file>

<file path=docProps/custom.xml><?xml version="1.0" encoding="utf-8"?>
<Properties xmlns="http://schemas.openxmlformats.org/officeDocument/2006/custom-properties" xmlns:vt="http://schemas.openxmlformats.org/officeDocument/2006/docPropsVTypes"/>
</file>