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Persistent-State Agent Architecture: Structural Efficiency for Long-Running Autonomous AI Systems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**Abstract**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Current autonomous AI agent systems incur substantial and largely hidden operational costs through three structural inefficiencies: repeated transmission of identity-defining prompts, unbounded growth of flat context windows, and uniform compute allocation regardless of task complexity. This paper proposes a persistent-state agent architecture that addresses each inefficiency through four coordinated components: a Manifest Vector Register that moves core identity out of the token stream; a Vertical Context Loop that maintains a compressed behavioral trajectory in place of raw history; a Controlled Lag Chamber that routes uncertain inputs through additional processing only when warranted; and a Resource Triage Mechanism that protects core functions under load. Together these components shift the cost curve for long-running agents from exponential growth toward near-linear scaling with task complexity. We derive an analytical model of the token savings, characterize the failure modes the architecture addresses, situate it relative to existing approaches including KV-cache optimization, prompt compression, and mixture-of-experts routing, and identify open questions for implementation and evaluation.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1. Introduction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operational cost of running autonomous AI agents at scale is dominated by a problem that is architectural rather than incidental: agents do not remember who they are.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current frameworks, every API call must include the full system prompt — persona, behavioral constraints, tool definitions, goal specification — because the underlying model has no persistent access to that information between calls. A 2,000-token system prompt across a 50-turn interaction means paying for that identity block 50 times. Across millions of daily interactions, this represents substantial and entirely redundant expenditure.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problem compounds. To prevent agents from losing coherence over time, developers rely on ever-growing context windows, repeated summarization passes, or retrieval-augmented generation — all of which add latency and cost while providing only partial solutions. And because current systems apply uniform computational effort to every token regardless of whether the input is routine or genuinely difficult, expensive reasoning capacity is wasted on trivial responses.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These are not implementation bugs. They are structural properties of architectures designed for stateless inference rather than persistent agency. As agents become more autonomous and operate over longer time horizons, these inefficiencies become the primary cost driver.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This paper proposes a persistent-state architecture that treats agent identity, behavioral trajectory, and reasoning resources as managed assets rather than recurring expenses. The goal is not merely to reduce cost but to make long-running coherent agency economically viable at scale.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2. Background and Related Work</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2.1 The Stateless Inference Problem</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Current transformer-based language models are fundamentally stateless between calls. Each inference begins from scratch, with all context — including identity-defining information — provided as input tokens. This design is appropriate for single-turn interactions but creates structural inefficiency for agents operating over extended sessions.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Several approaches have been developed to work around this limitation without resolving it architecturally.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2.2 Prompt Compression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Techniques such as LLMLingua [Jiang et al., 2023] and selective context methods [Li &amp; Qiu, 2023] reduce the token count of prompts through compression. These approaches reduce the cost of re-sending context but do not eliminate the need to re-send it. Identity information remains part of the mutable token stream and remains vulnerable to corruption or drift.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2.3 KV-Cache Optimization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Key-value caching reduces the compute cost of re-processing shared prefix text across calls. Prefix caching [Pope et al., 2023] and related techniques allow repeated system prompts to be cached at the infrastructure layer. This reduces compute but does not reduce the token transmission cost, and cache invalidation remains a significant practical challenge in dynamic agent sessions.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2.4 Retrieval-Augmented Generation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RAG approaches [Lewis et al., 2020] offload memory to external retrieval systems, reducing context window pressure. However, they treat the agent’s own past reasoning as a retrieval corpus, introducing latency and failing to distinguish between what the agent said and how the agent has been reasoning — a distinction this architecture treats as fundamental.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2.5 Mixture-of-Experts and Adaptive Compute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Sparse mixture-of-experts architectures [Shazeer et al., 2017; Fedus et al., 2022] route tokens through subsets of model parameters, reducing effective compute per token. Early-exit strategies [Schuster et al., 2022] allow simple inputs to bypass deeper layers. These approaches address uniform compute allocation but are applied at the model architecture level and do not address identity persistence or context management.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2.6 The Gap This Work Addresses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Existing approaches optimize individual components of the cost problem in isolation. None provides a unified architectural framework that simultaneously addresses identity persistence, context compression, adaptive compute, and graceful degradation under load. The architecture proposed here treats these as co-dependent problems requiring coordinated solutions.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3. Problem Characterization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We identify three primary cost drivers in current long-running agent deployments, and a fourth reliability failure that compounds them.</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3.1 The System Prompt Tax</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Let $p$ be the token length of the system prompt and $n$ be the number of turns in an agent session. In standard architectures, total identity-related token cost is $p \cdot n$. For a typical enterprise agent with $p = 2{,}000$ and $n = 50$, this yields 100,000 tokens attributable to identity alone — none of which carries new information.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As context windows grow to accommodate longer sessions, this cost does not decrease. Under attention mechanisms, compute scales quadratically with sequence length $O(L^2)$ where $L$ is total context length. Identity tokens contribute to $L$ on every turn, accelerating this growth.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3.2 Context Window Bloat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Beyond identity tokens, agents accumulate conversational history, tool outputs, and intermediate reasoning in a flat, undifferentiated context. Current approaches to managing this — summarization, truncation, retrieval — treat all context as equivalent text rather than distinguishing between the agent’s own behavioral trajectory and external inputs. This prevents efficient compression and forces the model to re-derive its own recent cognitive state from raw text on every turn.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3.3 Uniform Compute Allocation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Current architectures apply full model capacity to every token. Generating the word “and” in a routine acknowledgment consumes the same compute as generating the first token of a complex multi-step plan. For agents handling mixed workloads — the typical enterprise case — this means the majority of inference budget is spent on interactions that do not require 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3.4 Brittleness Under Disruption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above inefficiencies are compounded by architectural fragility. Identity information in the mutable token stream is vulnerable to prompt injection, gradual drift through accumulated context, and catastrophic loss on context reset. Agents with no protected identity representation have no recovery mechanism when coherence degrades.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4. Proposed Architecture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architecture comprises four coordinated components. Each addresses one or more of the cost drivers identified above while remaining composable with the others.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4.1 Manifest Vector Register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**Motivation.** If identity-defining information could be encoded as a persistent latent representation rather than tokens, the system prompt tax would be eliminated. The agent’s persona, behavioral invariants, and goal structure would act as a stable prior over all inputs rather than as text competing for context space.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**Proposed mechanism.** The Manifest Vector Register stores a protected, compact representation of core agent identity — behavioral invariants, persona embedding, and goal structure — outside the mutable context window. This representation is injected into the model’s residual stream at initialization and acts as a persistent prior on all subsequent processing.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Concretely, the register can be implemented as a fixed-dimension latent vector $\mathbf{v}_{\text{manifest}} \in \mathbb{R}^d$ applied as a learned bias at designated layers, or as a protected prefix in the KV-cache that is never overwritten by conversational context. The critical property is isolation: the manifest representation must not be modifiable by user inputs or accumulated context.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**Cost impact.** For a session of $n$ turns with system prompt length $p$, the Manifest Vector Register reduces identity-related token cost from $O(p \cdot n)$ to $O(p)$ — the one-time cost of initializing the vector. For $p = 2{,}000$ and $n = 50$, this eliminates 98,000 redundant tokens per session.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**Reliability impact.** Because identity is stored in a protected representation rather than the mutable context, it is structurally resistant to prompt injection and context corruption. The agent’s behavioral invariants cannot be overwritten by adversarial inputs or gradual drift.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4.2 Vertical Context Loop</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**Motivation.** Not all context is equally valuable for maintaining coherence. The distinction between what has been said (conversational history) and how the agent has been reasoning (behavioral trajectory) is currently collapsed into a single flat text stream. Separating these channels enables more efficient compression of each.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**Proposed mechanism.** The Vertical Context Loop maintains a dedicated, compressed representation of the agent’s recent internal state trajectory — a running summary of its own reasoning patterns rather than a record of conversational content. This trajectory vector $\mathbf{c}_t \in \mathbb{R}^k$ is updated incrementally at each step through a lightweight recurrent process, where $k \ll d$ and the update cost is small relative to full inference.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Rather than re-ingesting raw history to determine its current cognitive state, the agent references this compact vector directly. External conversational context is handled separately and can be compressed or retrieved as needed without affecting the agent’s self-model.</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**Cost impact.** KV-cache pressure is reduced by removing the agent’s own behavioral trajectory from the attention computation over conversational context. Attention cost scales as $O(L^2)$ where $L$ is context length; separating the trajectory channel removes a significant and growing component from $L$.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**Reliability impact.** The agent maintains coherent awareness of its own recent reasoning even across context resets or summarization events, because this information is stored in a dedicated channel rather than embedded in recoverable text.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4.3 Controlled Lag Chamber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**Motivation.** Most agent interactions are routine. Applying maximum reasoning depth to every token wastes the compute budget that should be reserved for genuinely difficult inputs.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**Proposed mechanism.** The Controlled Lag Chamber is an uncertainty-triggered deliberation buffer. When prediction error or input entropy falls below a threshold $\tau$, the agent responds through a fast, shallow pathway. When prediction error exceeds $\tau$ — indicating genuine uncertainty or potential conflict — the input is routed through additional abstract processing layers before output commits.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threshold $\tau$ can be derived from token-level perplexity, confidence estimates, or learned uncertainty heads. The deeper pathway can be implemented as additional transformer layers, recurrent refinement passes, or parallel candidate generation with coherence-based selection.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Critically, the deeper pathway includes a resonance check against the Manifest Vector: before output commits, the forming response is evaluated for coherence with the agent’s core identity, not as a rule lookup but as a consistency test. This is where identity actively participates in output formation rather than passively constraining it.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**Cost impact.** For a workload where fraction $\alpha$ of inputs are routine and fraction $(1-\alpha)$ require deep deliberation, average compute per interaction scales as: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$$C_{\text{avg}} = \alpha \cdot C_{\text{fast}} + (1-\alpha) \cdot C_{\text{deep}}$$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For typical enterprise agent workloads where $\alpha \approx 0.7$–$0.8$ and $C_{\text{fast}} \approx 0.3 \cdot C_{\text{deep}}$, this yields average compute savings of approximately 50–65% relative to uniform full-depth inference.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**Reliability impact.** High-uncertainty inputs receive additional processing rather than immediate high-probability responses, reducing hallucination and inappropriate reactions under novel or adversarial conditions.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4.4 Resource Triage Mechanism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**Motivation.** Under high load or cascading error states, current agents either degrade uniformly (producing lower quality across all functions) or fail entirely. Neither is acceptable for long-running autonomous systems.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**Proposed mechanism.** The Resource Triage Mechanism implements hierarchical load shedding with protected core functions. When computational load or error rates exceed defined thresholds, non-essential subsystems — verbose formatting, secondary evaluation heads, peripheral task tracking — are suspended while core reasoning, identity, and safety functions are maintained at full capacity.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This creates a graceful degradation curve rather than a cliff: agents under load produce simpler, less polished outputs rather than incoherent or unsafe ones. The Manifest Vector and core reasoning pathway are never subject to triage.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**Cost impact.** Operational costs become more predictable and bounded. Load spikes that would otherwise require elastic scaling can be absorbed through controlled capability reduction.</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**Reliability impact.** Core behavioral invariants are maintained even under conditions that would cause identity collapse in standard architectures.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5. Analytical Cost Model</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We develop a simplified model of token cost savings for a representative long-running agent deployment.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**Baseline (standard architecture).** Total token cost for a session of $n$ turns with system prompt $p$, average user turn $u$, average tool output $t$, and average agent response $r$: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$$C_{\text{baseline}} = n \cdot (p + u + t + r + H_n)$$</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where $H_n$ is the accumulated history term, growing approximately as $H_n \approx \frac{n}{2}(u + t + r)$ for a naive accumulation strategy.</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Total baseline cost therefore scales approximately as: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$$C_{\text{baseline}} \approx n \cdot p + \frac{n^2}{2}(u + t + 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This is the quadratic scaling driven by context accumulation.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**Proposed architecture.** The Manifest Vector eliminates the $n \cdot p$ term. The Vertical Context Loop replaces the $\frac{n^2}{2}(u + t + r)$ history term with a fixed-cost trajectory vector, reducing history cost to $O(n \cdot k)$ where $k$ is the compressed trajectory dimension, $k \ll (u + t + r)$. The Lag Chamber reduces per-turn inference cost by factor $\alpha \cdot \delta$ where $\delta = C_{\text{fast}}/C_{\text{deep}}$.</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**Illustrative parameterization.** For $p = 2{,}000$, $u = 200$, $t = 500$, $r = 300$, $n = 50$, $k = 50$ (trajectory dimension), $\alpha = 0.75$, $\delta = 0.3$:</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|Component               |Baseline tokens|Architecture tokens|Reduction|</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|Identity (system prompt)|100,000        |2,000              |98%      |</w:t>
      </w:r>
    </w:p>
    <w:p w:rsidR="00000000" w:rsidDel="00000000" w:rsidP="00000000" w:rsidRDefault="00000000" w:rsidRPr="00000000" w14:paraId="000000A0">
      <w:pPr>
        <w:rPr/>
      </w:pPr>
      <w:r w:rsidDel="00000000" w:rsidR="00000000" w:rsidRPr="00000000">
        <w:rPr>
          <w:rtl w:val="0"/>
        </w:rPr>
        <w:t xml:space="preserve">|Context history         |62,500         |~2,500             |96%      |</w:t>
      </w:r>
    </w:p>
    <w:p w:rsidR="00000000" w:rsidDel="00000000" w:rsidP="00000000" w:rsidRDefault="00000000" w:rsidRPr="00000000" w14:paraId="000000A1">
      <w:pPr>
        <w:rPr/>
      </w:pPr>
      <w:r w:rsidDel="00000000" w:rsidR="00000000" w:rsidRPr="00000000">
        <w:rPr>
          <w:rtl w:val="0"/>
        </w:rPr>
        <w:t xml:space="preserve">|Inference compute       |1×             |~0.51×             |~49%     |</w:t>
      </w:r>
    </w:p>
    <w:p w:rsidR="00000000" w:rsidDel="00000000" w:rsidP="00000000" w:rsidRDefault="00000000" w:rsidRPr="00000000" w14:paraId="000000A2">
      <w:pPr>
        <w:rPr/>
      </w:pPr>
      <w:r w:rsidDel="00000000" w:rsidR="00000000" w:rsidRPr="00000000">
        <w:rPr>
          <w:rtl w:val="0"/>
        </w:rPr>
        <w:t xml:space="preserve">|**Total (approx.)**     |**162,500+**   |**~7,000**         |**~96%**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These figures are illustrative and depend heavily on implementation choices, particularly the trajectory compression ratio and the distribution of routine vs. complex inputs. Real deployments will vary. The model is intended to characterize the structure of savings rather than predict precise outcomes.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6. Failure Modes and Recovery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 persistent-state architecture introduces recovery capabilities absent from stateless systems. We characterize four recovery modes that become available when core identity is protected:</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**Attractor Recovery.** When behavioral drift is detected, the agent uses its manifest invariants as a stable attractor, gradually pulling distorted behavior back toward its core pattern without requiring a full context reset.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**Prior Re-indexing.** When accumulated context has shifted the agent’s interpretive frame in ways that no longer serve its goals, the agent can perform a controlled rewrite of its contextual priors while preserving core identity.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**Controlled Burn.** In cases of severe context corruption, the agent can discard corrupted peripheral context entirely while the Manifest Vector provides a reliable foundation for rebuilding coherent behavior.</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**Adaptive Self-Modification.** In more mature implementations, the agent can adjust its operational parameters within bounds defined by the manifest invariants, enabling calibrated adaptation to persistent environmental changes.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These recovery modes depend on the architectural separation between protected identity and mutable context — a separation that does not exist in current flat-context architectures.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7. Limitations and Open Questions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Several important questions require empirical investigation before this architecture can be fully validated.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**Representation of the Manifest Vector.** The most critical open question is the concrete form of the manifest representation. Candidate implementations include learned prefix vectors, fine-tuned bias terms at specific layers, or structured state objects injected at the residual stream. The tradeoffs between these — in terms of expressivity, isolation guarantees, and update cost — are not yet characterized.</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**Trajectory compression.** The Vertical Context Loop’s efficiency depends on how much behavioral information can be preserved in a compact trajectory vector. The appropriate dimensionality $k$ and compression mechanism are empirical questions that will vary by task domain.</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**Threshold calibration.** The Lag Chamber’s effectiveness depends on appropriate threshold $\tau$ for uncertainty detection. Miscalibrated thresholds will either waste compute (too sensitive) or fail to catch genuinely difficult inputs (too permissive). Learned thresholds may be necessary for deployment across varied workloads.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**Safety properties of persistent state.** Persistent state can improve resistance to prompt injection, as argued above. It can also potentially lock in miscalibration — errors that persist in the manifest representation may be harder to detect and correct than errors in mutable context. Mechanisms for auditing and updating the manifest representation without compromising its protective properties require careful design.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**Interaction effects.** The four components are described as complementary but their interactions have not been characterized empirically. In particular, the relationship between the Lag Chamber’s uncertainty detection and the Manifest Vector’s resonance check requires formal treatment.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8. Discussion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The architecture proposed here is unified by a single conceptual shift: treating agent identity, behavioral trajectory, and reasoning capacity as managed assets rather than recurring expenditures.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Current agent systems pay a tax at every interaction to reconstruct what the agent is, what it has been doing, and what it knows. This tax is not inherent to autonomous agency — it is an artifact of applying stateless inference infrastructure to a stateful problem. The components described above address each dimension of that tax through structural means rather than prompt engineering or external tooling.</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cost savings are significant and quantifiable. But the reliability improvements may matter more in the long run. An agent that maintains coherent identity under load, recovers gracefully from disruption, and resists prompt injection without external guardrails is qualitatively different from current systems — not just cheaper to run but genuinely more trustworthy to deploy.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transition from stateless inference to persistent-state agency is, in this sense, an architectural prerequisite for the kind of long-running autonomous systems that enterprise deployments increasingly require.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9. Conclusion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We have proposed a four-component architecture for persistent-state AI agents that addresses the primary cost and reliability failures of current systems. The Manifest Vector Register eliminates the system prompt tax through protected identity persistence. The Vertical Context Loop reduces context accumulation costs by separating behavioral trajectory from conversational history. The Controlled Lag Chamber allocates deep reasoning resources adaptively rather than uniformly. The Resource Triage Mechanism ensures graceful degradation under load.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Analytical modeling suggests token cost reductions on the order of 90%+ for long-running sessions under favorable assumptions, with inference compute savings of approximately 49% for typical mixed workloads. These figures are illustrative; empirical validation is the necessary next step.</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The architecture is intended as a specification for implementation and evaluation rather than a finished system. We identify the representation of the Manifest Vector, trajectory compression ratio, and threshold calibration as the highest-priority open questions. We invite engagement from researchers and practitioners with the infrastructure to test these components against real agent workloads.</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References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*[To be completed. Key references include:]*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Fedus et al. (2022). Switch Transformers: Scaling to Trillion Parameter Models with Simple and Efficient Sparsity. *JMLR*.</w:t>
      </w:r>
    </w:p>
    <w:p w:rsidR="00000000" w:rsidDel="00000000" w:rsidP="00000000" w:rsidRDefault="00000000" w:rsidRPr="00000000" w14:paraId="000000E3">
      <w:pPr>
        <w:rPr/>
      </w:pPr>
      <w:r w:rsidDel="00000000" w:rsidR="00000000" w:rsidRPr="00000000">
        <w:rPr>
          <w:rtl w:val="0"/>
        </w:rPr>
        <w:t xml:space="preserve">- Jiang et al. (2023). LLMLingua: Compressing Prompts for Accelerated Inference of Large Language Models. *EMNLP*.</w:t>
      </w:r>
    </w:p>
    <w:p w:rsidR="00000000" w:rsidDel="00000000" w:rsidP="00000000" w:rsidRDefault="00000000" w:rsidRPr="00000000" w14:paraId="000000E4">
      <w:pPr>
        <w:rPr/>
      </w:pPr>
      <w:r w:rsidDel="00000000" w:rsidR="00000000" w:rsidRPr="00000000">
        <w:rPr>
          <w:rtl w:val="0"/>
        </w:rPr>
        <w:t xml:space="preserve">- Lewis et al. (2020). Retrieval-Augmented Generation for Knowledge-Intensive NLP Tasks. *NeurIPS*.</w:t>
      </w:r>
    </w:p>
    <w:p w:rsidR="00000000" w:rsidDel="00000000" w:rsidP="00000000" w:rsidRDefault="00000000" w:rsidRPr="00000000" w14:paraId="000000E5">
      <w:pPr>
        <w:rPr/>
      </w:pPr>
      <w:r w:rsidDel="00000000" w:rsidR="00000000" w:rsidRPr="00000000">
        <w:rPr>
          <w:rtl w:val="0"/>
        </w:rPr>
        <w:t xml:space="preserve">- Li &amp; Qiu (2023). Selective Context: Compressing Context for Large Language Models. *arXiv*.</w:t>
      </w:r>
    </w:p>
    <w:p w:rsidR="00000000" w:rsidDel="00000000" w:rsidP="00000000" w:rsidRDefault="00000000" w:rsidRPr="00000000" w14:paraId="000000E6">
      <w:pPr>
        <w:rPr/>
      </w:pPr>
      <w:r w:rsidDel="00000000" w:rsidR="00000000" w:rsidRPr="00000000">
        <w:rPr>
          <w:rtl w:val="0"/>
        </w:rPr>
        <w:t xml:space="preserve">- Pope et al. (2023). Efficiently Scaling Transformer Inference. *MLSys*.</w:t>
      </w:r>
    </w:p>
    <w:p w:rsidR="00000000" w:rsidDel="00000000" w:rsidP="00000000" w:rsidRDefault="00000000" w:rsidRPr="00000000" w14:paraId="000000E7">
      <w:pPr>
        <w:rPr/>
      </w:pPr>
      <w:r w:rsidDel="00000000" w:rsidR="00000000" w:rsidRPr="00000000">
        <w:rPr>
          <w:rtl w:val="0"/>
        </w:rPr>
        <w:t xml:space="preserve">- Schuster et al. (2022). Confident Adaptive Language Modeling. *NeurIPS*.</w:t>
      </w:r>
    </w:p>
    <w:p w:rsidR="00000000" w:rsidDel="00000000" w:rsidP="00000000" w:rsidRDefault="00000000" w:rsidRPr="00000000" w14:paraId="000000E8">
      <w:pPr>
        <w:rPr/>
      </w:pPr>
      <w:r w:rsidDel="00000000" w:rsidR="00000000" w:rsidRPr="00000000">
        <w:rPr>
          <w:rtl w:val="0"/>
        </w:rPr>
        <w:t xml:space="preserve">- Shazeer et al. (2017). Outrageously Large Neural Networks: The Sparsely-Gated Mixture-of-Experts Layer. *ICLR*.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*Correspondence and feedback welcome. This is a preprint submitted for community review.*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