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 Verification — Requirements</w:t>
      </w:r>
    </w:p>
    <w:p>
      <w:r>
        <w:t>Owner: Verification Operations. Version 1.0.</w:t>
      </w:r>
    </w:p>
    <w:p>
      <w:pPr>
        <w:pStyle w:val="Heading2"/>
      </w:pPr>
      <w:r>
        <w:t>What must be built</w:t>
      </w:r>
    </w:p>
    <w:p>
      <w:pPr>
        <w:pStyle w:val="ListBullet"/>
      </w:pPr>
      <w:r>
        <w:t>The candidate uploads their highest degree certificate as PDF or JPG, maximum 8 MB.</w:t>
      </w:r>
    </w:p>
    <w:p>
      <w:pPr>
        <w:pStyle w:val="ListBullet"/>
      </w:pPr>
      <w:r>
        <w:t>The officer sends a verification request to the university registrar by email.</w:t>
      </w:r>
    </w:p>
    <w:p>
      <w:pPr>
        <w:pStyle w:val="ListBullet"/>
      </w:pPr>
      <w:r>
        <w:t>The registrar reply is recorded as Confirmed, Not Found or Mismatch.</w:t>
      </w:r>
    </w:p>
    <w:p>
      <w:pPr>
        <w:pStyle w:val="ListBullet"/>
      </w:pPr>
      <w:r>
        <w:t>If the registrar does not reply within 12 working days, one reminder is sent automatically.</w:t>
      </w:r>
    </w:p>
    <w:p>
      <w:pPr>
        <w:pStyle w:val="ListBullet"/>
      </w:pPr>
      <w:r>
        <w:t>If there is still no reply after 20 working days, the check is closed as Unverifiable.</w:t>
      </w:r>
    </w:p>
    <w:p>
      <w:pPr>
        <w:pStyle w:val="ListBullet"/>
      </w:pPr>
      <w:r>
        <w:t>A Mismatch result places an amber flag on the candidate report.</w:t>
      </w:r>
    </w:p>
    <w:p>
      <w:pPr>
        <w:pStyle w:val="ListBullet"/>
      </w:pPr>
      <w:r>
        <w:t>Universities on the Blocked Institutions list (maintained by Compliance) are never contacted; the check is closed as Unverifiable immediately.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