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Dynatrace Customer Onboarding &amp; Governance Tracker</w:t>
      </w:r>
    </w:p>
    <w:p>
      <w:r>
        <w:t>Enterprise template for onboarding tracking, governance, deployment readiness, and go-live management.</w:t>
      </w:r>
    </w:p>
    <w:p>
      <w:pPr>
        <w:pStyle w:val="Heading1"/>
      </w:pPr>
      <w:r>
        <w:t>1. Executive Onboarding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Customer</w:t>
            </w:r>
          </w:p>
        </w:tc>
        <w:tc>
          <w:tcPr>
            <w:tcW w:type="dxa" w:w="785"/>
          </w:tcPr>
          <w:p>
            <w:r>
              <w:t>Tenant</w:t>
            </w:r>
          </w:p>
        </w:tc>
        <w:tc>
          <w:tcPr>
            <w:tcW w:type="dxa" w:w="785"/>
          </w:tcPr>
          <w:p>
            <w:r>
              <w:t>Region</w:t>
            </w:r>
          </w:p>
        </w:tc>
        <w:tc>
          <w:tcPr>
            <w:tcW w:type="dxa" w:w="785"/>
          </w:tcPr>
          <w:p>
            <w:r>
              <w:t>Total Hosts</w:t>
            </w:r>
          </w:p>
        </w:tc>
        <w:tc>
          <w:tcPr>
            <w:tcW w:type="dxa" w:w="785"/>
          </w:tcPr>
          <w:p>
            <w:r>
              <w:t>Apps</w:t>
            </w:r>
          </w:p>
        </w:tc>
        <w:tc>
          <w:tcPr>
            <w:tcW w:type="dxa" w:w="785"/>
          </w:tcPr>
          <w:p>
            <w:r>
              <w:t>AWS</w:t>
            </w:r>
          </w:p>
        </w:tc>
        <w:tc>
          <w:tcPr>
            <w:tcW w:type="dxa" w:w="785"/>
          </w:tcPr>
          <w:p>
            <w:r>
              <w:t>Azure</w:t>
            </w:r>
          </w:p>
        </w:tc>
        <w:tc>
          <w:tcPr>
            <w:tcW w:type="dxa" w:w="785"/>
          </w:tcPr>
          <w:p>
            <w:r>
              <w:t>VMware</w:t>
            </w:r>
          </w:p>
        </w:tc>
        <w:tc>
          <w:tcPr>
            <w:tcW w:type="dxa" w:w="785"/>
          </w:tcPr>
          <w:p>
            <w:r>
              <w:t>Database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Go-Live</w:t>
            </w:r>
          </w:p>
        </w:tc>
      </w:tr>
      <w:tr>
        <w:tc>
          <w:tcPr>
            <w:tcW w:type="dxa" w:w="785"/>
          </w:tcPr>
          <w:p>
            <w:r>
              <w:t>Customer A</w:t>
            </w:r>
          </w:p>
        </w:tc>
        <w:tc>
          <w:tcPr>
            <w:tcW w:type="dxa" w:w="785"/>
          </w:tcPr>
          <w:p>
            <w:r>
              <w:t>PROD</w:t>
            </w:r>
          </w:p>
        </w:tc>
        <w:tc>
          <w:tcPr>
            <w:tcW w:type="dxa" w:w="785"/>
          </w:tcPr>
          <w:p>
            <w:r>
              <w:t>EU</w:t>
            </w:r>
          </w:p>
        </w:tc>
        <w:tc>
          <w:tcPr>
            <w:tcW w:type="dxa" w:w="785"/>
          </w:tcPr>
          <w:p>
            <w:r>
              <w:t>500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Yes</w:t>
            </w:r>
          </w:p>
        </w:tc>
        <w:tc>
          <w:tcPr>
            <w:tcW w:type="dxa" w:w="785"/>
          </w:tcPr>
          <w:p>
            <w:r>
              <w:t>Yes</w:t>
            </w:r>
          </w:p>
        </w:tc>
        <w:tc>
          <w:tcPr>
            <w:tcW w:type="dxa" w:w="785"/>
          </w:tcPr>
          <w:p>
            <w:r>
              <w:t>Yes</w:t>
            </w:r>
          </w:p>
        </w:tc>
        <w:tc>
          <w:tcPr>
            <w:tcW w:type="dxa" w:w="785"/>
          </w:tcPr>
          <w:p>
            <w:r>
              <w:t>Yes</w:t>
            </w:r>
          </w:p>
        </w:tc>
        <w:tc>
          <w:tcPr>
            <w:tcW w:type="dxa" w:w="785"/>
          </w:tcPr>
          <w:p>
            <w:r>
              <w:t>Green</w:t>
            </w:r>
          </w:p>
        </w:tc>
        <w:tc>
          <w:tcPr>
            <w:tcW w:type="dxa" w:w="785"/>
          </w:tcPr>
          <w:p>
            <w:r>
              <w:t>15-Jul</w:t>
            </w:r>
          </w:p>
        </w:tc>
      </w:tr>
      <w:tr>
        <w:tc>
          <w:tcPr>
            <w:tcW w:type="dxa" w:w="785"/>
          </w:tcPr>
          <w:p>
            <w:r>
              <w:t>Customer B</w:t>
            </w:r>
          </w:p>
        </w:tc>
        <w:tc>
          <w:tcPr>
            <w:tcW w:type="dxa" w:w="785"/>
          </w:tcPr>
          <w:p>
            <w:r>
              <w:t>PROD</w:t>
            </w:r>
          </w:p>
        </w:tc>
        <w:tc>
          <w:tcPr>
            <w:tcW w:type="dxa" w:w="785"/>
          </w:tcPr>
          <w:p>
            <w:r>
              <w:t>US</w:t>
            </w:r>
          </w:p>
        </w:tc>
        <w:tc>
          <w:tcPr>
            <w:tcW w:type="dxa" w:w="785"/>
          </w:tcPr>
          <w:p>
            <w:r>
              <w:t>1200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Yes</w:t>
            </w:r>
          </w:p>
        </w:tc>
        <w:tc>
          <w:tcPr>
            <w:tcW w:type="dxa" w:w="785"/>
          </w:tcPr>
          <w:p>
            <w:r>
              <w:t>No</w:t>
            </w:r>
          </w:p>
        </w:tc>
        <w:tc>
          <w:tcPr>
            <w:tcW w:type="dxa" w:w="785"/>
          </w:tcPr>
          <w:p>
            <w:r>
              <w:t>Yes</w:t>
            </w:r>
          </w:p>
        </w:tc>
        <w:tc>
          <w:tcPr>
            <w:tcW w:type="dxa" w:w="785"/>
          </w:tcPr>
          <w:p>
            <w:r>
              <w:t>Yes</w:t>
            </w:r>
          </w:p>
        </w:tc>
        <w:tc>
          <w:tcPr>
            <w:tcW w:type="dxa" w:w="785"/>
          </w:tcPr>
          <w:p>
            <w:r>
              <w:t>Amber</w:t>
            </w:r>
          </w:p>
        </w:tc>
        <w:tc>
          <w:tcPr>
            <w:tcW w:type="dxa" w:w="785"/>
          </w:tcPr>
          <w:p>
            <w:r>
              <w:t>30-Jul</w:t>
            </w:r>
          </w:p>
        </w:tc>
      </w:tr>
    </w:tbl>
    <w:p>
      <w:pPr>
        <w:pStyle w:val="Heading2"/>
      </w:pPr>
      <w:r>
        <w:t>Executive KPIs</w:t>
      </w:r>
    </w:p>
    <w:p>
      <w:r>
        <w:t>Total Hosts Onboarded</w:t>
      </w:r>
    </w:p>
    <w:p>
      <w:r>
        <w:t>OneAgent Coverage %</w:t>
      </w:r>
    </w:p>
    <w:p>
      <w:r>
        <w:t>Applications Monitored %</w:t>
      </w:r>
    </w:p>
    <w:p>
      <w:r>
        <w:t>Cloud Integrations %</w:t>
      </w:r>
    </w:p>
    <w:p>
      <w:r>
        <w:t>Database Coverage %</w:t>
      </w:r>
    </w:p>
    <w:p>
      <w:r>
        <w:t>Tenant Health</w:t>
      </w:r>
    </w:p>
    <w:p>
      <w:r>
        <w:t>Go-Live Status</w:t>
      </w:r>
    </w:p>
    <w:p>
      <w:pPr>
        <w:pStyle w:val="Heading1"/>
      </w:pPr>
      <w:r>
        <w:t>2. Detailed Onboarding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Workstream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Tenant Setup</w:t>
            </w:r>
          </w:p>
        </w:tc>
        <w:tc>
          <w:tcPr>
            <w:tcW w:type="dxa" w:w="1728"/>
          </w:tcPr>
          <w:p>
            <w:r>
              <w:t>Create Tenant</w:t>
            </w:r>
          </w:p>
        </w:tc>
        <w:tc>
          <w:tcPr>
            <w:tcW w:type="dxa" w:w="1728"/>
          </w:tcPr>
          <w:p>
            <w:r>
              <w:t>Dynatrace Team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ActiveGate</w:t>
            </w:r>
          </w:p>
        </w:tc>
        <w:tc>
          <w:tcPr>
            <w:tcW w:type="dxa" w:w="1728"/>
          </w:tcPr>
          <w:p>
            <w:r>
              <w:t>Provision VM</w:t>
            </w:r>
          </w:p>
        </w:tc>
        <w:tc>
          <w:tcPr>
            <w:tcW w:type="dxa" w:w="1728"/>
          </w:tcPr>
          <w:p>
            <w:r>
              <w:t>Infra Team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Firewall Validation</w:t>
            </w:r>
          </w:p>
        </w:tc>
        <w:tc>
          <w:tcPr>
            <w:tcW w:type="dxa" w:w="1728"/>
          </w:tcPr>
          <w:p>
            <w:r>
              <w:t>Network Team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OneAgent</w:t>
            </w:r>
          </w:p>
        </w:tc>
        <w:tc>
          <w:tcPr>
            <w:tcW w:type="dxa" w:w="1728"/>
          </w:tcPr>
          <w:p>
            <w:r>
              <w:t>Windows Servers</w:t>
            </w:r>
          </w:p>
        </w:tc>
        <w:tc>
          <w:tcPr>
            <w:tcW w:type="dxa" w:w="1728"/>
          </w:tcPr>
          <w:p>
            <w:r>
              <w:t>App Team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  <w:tc>
          <w:tcPr>
            <w:tcW w:type="dxa" w:w="1728"/>
          </w:tcPr>
          <w:p>
            <w:r>
              <w:t>600/800 complete</w:t>
            </w:r>
          </w:p>
        </w:tc>
      </w:tr>
    </w:tbl>
    <w:p>
      <w:pPr>
        <w:pStyle w:val="Heading1"/>
      </w:pPr>
      <w:r>
        <w:t>3. Technical Onboarding Tracker</w:t>
      </w:r>
    </w:p>
    <w:p>
      <w:pPr>
        <w:pStyle w:val="Heading2"/>
      </w:pPr>
      <w:r>
        <w:t>Tenant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Tenant Name</w:t>
            </w:r>
          </w:p>
        </w:tc>
        <w:tc>
          <w:tcPr>
            <w:tcW w:type="dxa" w:w="4320"/>
          </w:tcPr>
          <w:p>
            <w:r>
              <w:t>Customer-PROD</w:t>
            </w:r>
          </w:p>
        </w:tc>
      </w:tr>
      <w:tr>
        <w:tc>
          <w:tcPr>
            <w:tcW w:type="dxa" w:w="4320"/>
          </w:tcPr>
          <w:p>
            <w:r>
              <w:t>Environment ID</w:t>
            </w:r>
          </w:p>
        </w:tc>
        <w:tc>
          <w:tcPr>
            <w:tcW w:type="dxa" w:w="4320"/>
          </w:tcPr>
          <w:p>
            <w:r>
              <w:t>abc12345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SaaS</w:t>
            </w:r>
          </w:p>
        </w:tc>
      </w:tr>
      <w:tr>
        <w:tc>
          <w:tcPr>
            <w:tcW w:type="dxa" w:w="4320"/>
          </w:tcPr>
          <w:p>
            <w:r>
              <w:t>ActiveGates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ABAC Enabled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ActiveGate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ActiveGate</w:t>
            </w:r>
          </w:p>
        </w:tc>
        <w:tc>
          <w:tcPr>
            <w:tcW w:type="dxa" w:w="1728"/>
          </w:tcPr>
          <w:p>
            <w:r>
              <w:t>CPU</w:t>
            </w:r>
          </w:p>
        </w:tc>
        <w:tc>
          <w:tcPr>
            <w:tcW w:type="dxa" w:w="1728"/>
          </w:tcPr>
          <w:p>
            <w:r>
              <w:t>RAM</w:t>
            </w:r>
          </w:p>
        </w:tc>
        <w:tc>
          <w:tcPr>
            <w:tcW w:type="dxa" w:w="1728"/>
          </w:tcPr>
          <w:p>
            <w:r>
              <w:t>Disk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AG-01</w:t>
            </w:r>
          </w:p>
        </w:tc>
        <w:tc>
          <w:tcPr>
            <w:tcW w:type="dxa" w:w="1728"/>
          </w:tcPr>
          <w:p>
            <w:r>
              <w:t>8 vCPU</w:t>
            </w:r>
          </w:p>
        </w:tc>
        <w:tc>
          <w:tcPr>
            <w:tcW w:type="dxa" w:w="1728"/>
          </w:tcPr>
          <w:p>
            <w:r>
              <w:t>16 GB</w:t>
            </w:r>
          </w:p>
        </w:tc>
        <w:tc>
          <w:tcPr>
            <w:tcW w:type="dxa" w:w="1728"/>
          </w:tcPr>
          <w:p>
            <w:r>
              <w:t>200 GB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AG-02</w:t>
            </w:r>
          </w:p>
        </w:tc>
        <w:tc>
          <w:tcPr>
            <w:tcW w:type="dxa" w:w="1728"/>
          </w:tcPr>
          <w:p>
            <w:r>
              <w:t>8 vCPU</w:t>
            </w:r>
          </w:p>
        </w:tc>
        <w:tc>
          <w:tcPr>
            <w:tcW w:type="dxa" w:w="1728"/>
          </w:tcPr>
          <w:p>
            <w:r>
              <w:t>16 GB</w:t>
            </w:r>
          </w:p>
        </w:tc>
        <w:tc>
          <w:tcPr>
            <w:tcW w:type="dxa" w:w="1728"/>
          </w:tcPr>
          <w:p>
            <w:r>
              <w:t>200 GB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p>
      <w:pPr>
        <w:pStyle w:val="Heading2"/>
      </w:pPr>
      <w:r>
        <w:t>OneAgent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Installed</w:t>
            </w:r>
          </w:p>
        </w:tc>
        <w:tc>
          <w:tcPr>
            <w:tcW w:type="dxa" w:w="2160"/>
          </w:tcPr>
          <w:p>
            <w:r>
              <w:t>Completion %</w:t>
            </w:r>
          </w:p>
        </w:tc>
      </w:tr>
      <w:tr>
        <w:tc>
          <w:tcPr>
            <w:tcW w:type="dxa" w:w="2160"/>
          </w:tcPr>
          <w:p>
            <w:r>
              <w:t>Windows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Linux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2"/>
      </w:pPr>
      <w:r>
        <w:t>Cloud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Configured</w:t>
            </w:r>
          </w:p>
        </w:tc>
        <w:tc>
          <w:tcPr>
            <w:tcW w:type="dxa" w:w="2880"/>
          </w:tcPr>
          <w:p>
            <w:r>
              <w:t>Validated</w:t>
            </w:r>
          </w:p>
        </w:tc>
      </w:tr>
      <w:tr>
        <w:tc>
          <w:tcPr>
            <w:tcW w:type="dxa" w:w="2880"/>
          </w:tcPr>
          <w:p>
            <w:r>
              <w:t>AWS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VMware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Database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Oracle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MSSQL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p>
      <w:pPr>
        <w:pStyle w:val="Heading1"/>
      </w:pPr>
      <w:r>
        <w:t>Recommended Onboarding Program Structure</w:t>
      </w:r>
    </w:p>
    <w:p>
      <w:r>
        <w:t>• Tenant Readiness</w:t>
      </w:r>
    </w:p>
    <w:p>
      <w:r>
        <w:t>• ActiveGate Readiness</w:t>
      </w:r>
    </w:p>
    <w:p>
      <w:r>
        <w:t>• OneAgent Deployment</w:t>
      </w:r>
    </w:p>
    <w:p>
      <w:r>
        <w:t>• Application Onboarding</w:t>
      </w:r>
    </w:p>
    <w:p>
      <w:r>
        <w:t>• AWS Integration</w:t>
      </w:r>
    </w:p>
    <w:p>
      <w:r>
        <w:t>• Azure Integration</w:t>
      </w:r>
    </w:p>
    <w:p>
      <w:r>
        <w:t>• VMware Integration</w:t>
      </w:r>
    </w:p>
    <w:p>
      <w:r>
        <w:t>• Database Monitoring</w:t>
      </w:r>
    </w:p>
    <w:p>
      <w:r>
        <w:t>• Synthetic Monitoring</w:t>
      </w:r>
    </w:p>
    <w:p>
      <w:r>
        <w:t>• Dashboard Creation</w:t>
      </w:r>
    </w:p>
    <w:p>
      <w:r>
        <w:t>• Alert Configuration</w:t>
      </w:r>
    </w:p>
    <w:p>
      <w:r>
        <w:t>• User Access / ABAC</w:t>
      </w:r>
    </w:p>
    <w:p>
      <w:r>
        <w:t>• Operational Handover</w:t>
      </w:r>
    </w:p>
    <w:p>
      <w:r>
        <w:t>• Go-Live Approval</w:t>
      </w:r>
    </w:p>
    <w:p>
      <w:pPr>
        <w:pStyle w:val="Heading1"/>
      </w:pPr>
      <w:r>
        <w:t>RAG Status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Amber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Gray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pPr>
        <w:pStyle w:val="Heading1"/>
      </w:pPr>
      <w:r>
        <w:t>Go-Live Checklist</w:t>
      </w:r>
    </w:p>
    <w:p>
      <w:r>
        <w:t>☑ ActiveGate Installed</w:t>
      </w:r>
    </w:p>
    <w:p>
      <w:r>
        <w:t>☑ OneAgent Coverage &gt;95%</w:t>
      </w:r>
    </w:p>
    <w:p>
      <w:r>
        <w:t>☑ Applications Visible</w:t>
      </w:r>
    </w:p>
    <w:p>
      <w:r>
        <w:t>☑ Dashboards Created</w:t>
      </w:r>
    </w:p>
    <w:p>
      <w:r>
        <w:t>☑ Alerting Tested</w:t>
      </w:r>
    </w:p>
    <w:p>
      <w:r>
        <w:t>☑ AWS/Azure Connectivity Verified</w:t>
      </w:r>
    </w:p>
    <w:p>
      <w:r>
        <w:t>☑ VMware Connected</w:t>
      </w:r>
    </w:p>
    <w:p>
      <w:r>
        <w:t>☑ Database Monitoring Active</w:t>
      </w:r>
    </w:p>
    <w:p>
      <w:r>
        <w:t>☑ Runbooks Reviewed</w:t>
      </w:r>
    </w:p>
    <w:p>
      <w:r>
        <w:t>☑ Customer Sign-Off Obtained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Standard" siteId="{6e51e1ad-c54b-4b39-b598-0ffe9ae68fe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Pradeep K</dc:creator>
  <keywords/>
  <dc:description>generated by python-docx</dc:description>
  <lastModifiedBy>Pradeep K</lastModifiedBy>
  <revision>1</revision>
  <dcterms:created xsi:type="dcterms:W3CDTF">2026-07-02T06:33:19.5669409Z</dcterms:created>
  <dcterms:modified xsi:type="dcterms:W3CDTF">2026-07-02T06:33:19.5669409Z</dcterms:modified>
  <category/>
</coreProperties>
</file>