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3B" w:rsidRPr="00653CCB" w:rsidRDefault="0046189A" w:rsidP="0046189A">
      <w:pPr>
        <w:pStyle w:val="ListParagraph"/>
        <w:numPr>
          <w:ilvl w:val="0"/>
          <w:numId w:val="1"/>
        </w:numPr>
        <w:rPr>
          <w:b/>
        </w:rPr>
      </w:pPr>
      <w:r w:rsidRPr="00653CCB">
        <w:rPr>
          <w:b/>
        </w:rPr>
        <w:t xml:space="preserve">Optimal logic query plan </w:t>
      </w:r>
    </w:p>
    <w:p w:rsidR="0046189A" w:rsidRDefault="0046189A" w:rsidP="0046189A">
      <w:pPr>
        <w:pStyle w:val="ListParagraph"/>
        <w:numPr>
          <w:ilvl w:val="0"/>
          <w:numId w:val="2"/>
        </w:numPr>
      </w:pPr>
      <w:r>
        <w:t>The optimized log</w:t>
      </w:r>
      <w:r w:rsidR="005F0D0A">
        <w:t>ical query works in this manner</w:t>
      </w:r>
      <w:r>
        <w:t>, first it starts with the Product relation and moves according to the condition on attributes Production-year which should be after 2000 and the Rating which should be</w:t>
      </w:r>
      <w:r w:rsidR="005F0D0A">
        <w:t xml:space="preserve"> 5</w:t>
      </w:r>
      <w:r>
        <w:t>. It then projects the Pr</w:t>
      </w:r>
      <w:r w:rsidR="005F0D0A">
        <w:t>oduct on name and company-name.</w:t>
      </w:r>
      <w:r>
        <w:t xml:space="preserve"> It then selects the Company relation while projecting the attributes name and state and finally it joins the projected product an</w:t>
      </w:r>
      <w:r w:rsidR="005F0D0A">
        <w:t>d company relations and project</w:t>
      </w:r>
      <w:r>
        <w:t xml:space="preserve"> the resulting table on attributes name of the product and state of the company.</w:t>
      </w:r>
    </w:p>
    <w:p w:rsidR="005F0D0A" w:rsidRDefault="005F0D0A" w:rsidP="005F0D0A">
      <w:pPr>
        <w:pStyle w:val="ListParagraph"/>
      </w:pPr>
    </w:p>
    <w:p w:rsidR="00653CCB" w:rsidRDefault="002472A9" w:rsidP="00653CCB">
      <w:pPr>
        <w:pStyle w:val="ListParagraph"/>
        <w:numPr>
          <w:ilvl w:val="0"/>
          <w:numId w:val="1"/>
        </w:numPr>
        <w:rPr>
          <w:b/>
        </w:rPr>
      </w:pPr>
      <w:r w:rsidRPr="002472A9">
        <w:rPr>
          <w:b/>
        </w:rPr>
        <w:t>Query Optimization</w:t>
      </w:r>
    </w:p>
    <w:p w:rsidR="001C691A" w:rsidRDefault="001C691A" w:rsidP="0037175C">
      <w:pPr>
        <w:pStyle w:val="ListParagraph"/>
        <w:numPr>
          <w:ilvl w:val="0"/>
          <w:numId w:val="2"/>
        </w:numPr>
      </w:pPr>
      <w:r>
        <w:t>To calculate the cost I used the hash join formula:</w:t>
      </w:r>
    </w:p>
    <w:p w:rsidR="001C691A" w:rsidRDefault="001C691A" w:rsidP="0037175C">
      <w:pPr>
        <w:spacing w:after="0" w:line="240" w:lineRule="auto"/>
        <w:ind w:left="720"/>
      </w:pPr>
      <w:r>
        <w:t>For example:</w:t>
      </w:r>
    </w:p>
    <w:p w:rsidR="001C691A" w:rsidRDefault="001C691A" w:rsidP="0037175C">
      <w:pPr>
        <w:spacing w:after="0" w:line="240" w:lineRule="auto"/>
        <w:ind w:left="720"/>
      </w:pPr>
      <w:r>
        <w:t>RS</w:t>
      </w:r>
      <w:r w:rsidRPr="001C691A">
        <w:t xml:space="preserve"> =</w:t>
      </w:r>
      <w:r>
        <w:t xml:space="preserve"> 3 * B(R) + 3 * B(S)</w:t>
      </w:r>
    </w:p>
    <w:p w:rsidR="001C691A" w:rsidRDefault="001C691A" w:rsidP="0037175C">
      <w:pPr>
        <w:spacing w:after="0" w:line="240" w:lineRule="auto"/>
        <w:ind w:left="720"/>
      </w:pPr>
      <w:r>
        <w:t>Where B(R) = T(R)/5    , since we can have at most 5 tuples.</w:t>
      </w:r>
    </w:p>
    <w:p w:rsidR="001C691A" w:rsidRDefault="001C691A" w:rsidP="0037175C">
      <w:pPr>
        <w:ind w:left="720"/>
      </w:pPr>
    </w:p>
    <w:p w:rsidR="001C691A" w:rsidRDefault="001C691A" w:rsidP="0037175C">
      <w:pPr>
        <w:ind w:left="720"/>
      </w:pPr>
      <w:r>
        <w:t xml:space="preserve">For size I used the </w:t>
      </w:r>
      <w:proofErr w:type="spellStart"/>
      <w:r>
        <w:t>Selinger</w:t>
      </w:r>
      <w:proofErr w:type="spellEnd"/>
      <w:r>
        <w:t xml:space="preserve"> </w:t>
      </w:r>
      <w:proofErr w:type="gramStart"/>
      <w:r>
        <w:t>formula :</w:t>
      </w:r>
      <w:proofErr w:type="gramEnd"/>
    </w:p>
    <w:p w:rsidR="001C691A" w:rsidRDefault="001C691A" w:rsidP="0037175C">
      <w:pPr>
        <w:spacing w:after="0"/>
        <w:ind w:left="720"/>
      </w:pPr>
      <w:r>
        <w:t>For example:</w:t>
      </w:r>
    </w:p>
    <w:p w:rsidR="001C691A" w:rsidRDefault="001C691A" w:rsidP="0037175C">
      <w:pPr>
        <w:spacing w:after="0"/>
        <w:ind w:left="720"/>
      </w:pPr>
      <w:proofErr w:type="gramStart"/>
      <w:r w:rsidRPr="001C691A">
        <w:t>( T</w:t>
      </w:r>
      <w:proofErr w:type="gramEnd"/>
      <w:r w:rsidRPr="001C691A">
        <w:t xml:space="preserve">(R) * T(S) ) / </w:t>
      </w:r>
      <w:proofErr w:type="gramStart"/>
      <w:r w:rsidRPr="001C691A">
        <w:t>( max</w:t>
      </w:r>
      <w:proofErr w:type="gramEnd"/>
      <w:r w:rsidRPr="001C691A">
        <w:t xml:space="preserve"> ( V(R,B), V(S,B))  * max(V(R,C), V(S,C)) )</w:t>
      </w:r>
      <w:r>
        <w:t xml:space="preserve"> </w:t>
      </w:r>
    </w:p>
    <w:p w:rsidR="001C691A" w:rsidRPr="001C691A" w:rsidRDefault="001C691A" w:rsidP="001C691A">
      <w:r>
        <w:t xml:space="preserve"> </w:t>
      </w:r>
    </w:p>
    <w:tbl>
      <w:tblPr>
        <w:tblW w:w="5560" w:type="dxa"/>
        <w:tblInd w:w="13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334"/>
        <w:gridCol w:w="1349"/>
        <w:gridCol w:w="1517"/>
      </w:tblGrid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i/>
                <w:sz w:val="36"/>
                <w:szCs w:val="36"/>
              </w:rPr>
            </w:pPr>
            <w:r w:rsidRPr="00797C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kern w:val="24"/>
                <w:sz w:val="28"/>
                <w:szCs w:val="28"/>
              </w:rPr>
              <w:t>Query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i/>
                <w:sz w:val="36"/>
                <w:szCs w:val="36"/>
              </w:rPr>
            </w:pPr>
            <w:r w:rsidRPr="00797C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kern w:val="24"/>
                <w:sz w:val="28"/>
                <w:szCs w:val="28"/>
              </w:rPr>
              <w:t>Size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i/>
                <w:sz w:val="36"/>
                <w:szCs w:val="36"/>
              </w:rPr>
            </w:pPr>
            <w:r w:rsidRPr="00797C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kern w:val="24"/>
                <w:sz w:val="28"/>
                <w:szCs w:val="28"/>
              </w:rPr>
              <w:t>Cost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i/>
                <w:sz w:val="36"/>
                <w:szCs w:val="36"/>
              </w:rPr>
            </w:pPr>
            <w:r w:rsidRPr="00797CCD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kern w:val="24"/>
                <w:sz w:val="28"/>
                <w:szCs w:val="28"/>
              </w:rPr>
              <w:t>Plan</w:t>
            </w:r>
          </w:p>
        </w:tc>
      </w:tr>
      <w:tr w:rsidR="00797CCD" w:rsidRPr="00797CCD" w:rsidTr="00797CCD">
        <w:trPr>
          <w:trHeight w:val="321"/>
        </w:trPr>
        <w:tc>
          <w:tcPr>
            <w:tcW w:w="139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RS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200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420</w:t>
            </w:r>
            <w:r w:rsidR="00797CCD" w:rsidRPr="00797C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0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SR</w:t>
            </w:r>
          </w:p>
        </w:tc>
      </w:tr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RW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8A46AE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40k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3600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WR</w:t>
            </w:r>
          </w:p>
        </w:tc>
      </w:tr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RU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8A46AE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40k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3000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UR</w:t>
            </w:r>
          </w:p>
        </w:tc>
      </w:tr>
      <w:tr w:rsidR="00797CCD" w:rsidRPr="00797CCD" w:rsidTr="00797CCD">
        <w:trPr>
          <w:trHeight w:val="321"/>
        </w:trPr>
        <w:tc>
          <w:tcPr>
            <w:tcW w:w="13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SW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8A46AE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60k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3000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WS</w:t>
            </w:r>
          </w:p>
        </w:tc>
      </w:tr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WU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8A46AE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20k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1800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UW</w:t>
            </w:r>
          </w:p>
        </w:tc>
      </w:tr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RSW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4000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38400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R(SW</w:t>
            </w:r>
            <w:r w:rsidR="00797C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</w:tr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797C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RSU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2000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25800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S(</w:t>
            </w:r>
            <w:r w:rsidR="00797CCD" w:rsidRPr="00797C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U</w:t>
            </w:r>
            <w:r w:rsidR="00797CCD" w:rsidRPr="00797C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</w:tr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RWU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4000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14400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R(UW</w:t>
            </w:r>
            <w:r w:rsidRPr="00797C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</w:tr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SWU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60</w:t>
            </w:r>
            <w:r w:rsidR="006157B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13800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S(UW</w:t>
            </w:r>
            <w:r w:rsidRPr="00797C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</w:tr>
      <w:tr w:rsidR="00797CCD" w:rsidRPr="00797CCD" w:rsidTr="00797CCD">
        <w:trPr>
          <w:trHeight w:val="322"/>
        </w:trPr>
        <w:tc>
          <w:tcPr>
            <w:tcW w:w="139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797CCD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RSWU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80k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36k</w:t>
            </w:r>
          </w:p>
        </w:tc>
        <w:tc>
          <w:tcPr>
            <w:tcW w:w="13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97CCD" w:rsidRPr="00797CCD" w:rsidRDefault="006157B6" w:rsidP="00797CCD">
            <w:pPr>
              <w:kinsoku w:val="0"/>
              <w:overflowPunct w:val="0"/>
              <w:spacing w:before="67"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(UW)(UR</w:t>
            </w:r>
            <w:r w:rsidR="00797CCD" w:rsidRPr="00797CCD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>)</w:t>
            </w:r>
          </w:p>
        </w:tc>
      </w:tr>
    </w:tbl>
    <w:p w:rsidR="00653CCB" w:rsidRPr="00653CCB" w:rsidRDefault="00653CCB" w:rsidP="00653CCB">
      <w:pPr>
        <w:pStyle w:val="ListParagraph"/>
        <w:numPr>
          <w:ilvl w:val="0"/>
          <w:numId w:val="1"/>
        </w:numPr>
        <w:rPr>
          <w:b/>
        </w:rPr>
      </w:pPr>
      <w:r w:rsidRPr="00653CCB">
        <w:rPr>
          <w:b/>
        </w:rPr>
        <w:lastRenderedPageBreak/>
        <w:t>Consider the following classes of schedules: serializable and 2PL. For each of the following schedules, state which of the preceding classes it belongs to. If you cannot decide whether a schedule belongs to a certain class based on the listed actions, explain briefly your reasons</w:t>
      </w:r>
      <w:r w:rsidRPr="00653CCB">
        <w:rPr>
          <w:b/>
        </w:rPr>
        <w:br/>
      </w:r>
    </w:p>
    <w:p w:rsidR="00653CCB" w:rsidRPr="00653CCB" w:rsidRDefault="00653CCB" w:rsidP="00653CCB">
      <w:pPr>
        <w:pStyle w:val="ListParagraph"/>
        <w:numPr>
          <w:ilvl w:val="0"/>
          <w:numId w:val="3"/>
        </w:numPr>
        <w:rPr>
          <w:b/>
        </w:rPr>
      </w:pPr>
      <w:r w:rsidRPr="00653CCB">
        <w:rPr>
          <w:b/>
        </w:rPr>
        <w:t>T1:R(X), T2:R(Y), T3:W(X), T2:R(X), T1:R(Y)</w:t>
      </w:r>
    </w:p>
    <w:p w:rsidR="00653CCB" w:rsidRDefault="00653CCB" w:rsidP="0037175C">
      <w:pPr>
        <w:pStyle w:val="ListParagraph"/>
        <w:numPr>
          <w:ilvl w:val="1"/>
          <w:numId w:val="2"/>
        </w:numPr>
      </w:pPr>
      <w:r>
        <w:t xml:space="preserve">It can be categorized as serializable since it does not creates a cycle of conflicts. It can be </w:t>
      </w:r>
      <w:proofErr w:type="spellStart"/>
      <w:r>
        <w:t>be</w:t>
      </w:r>
      <w:proofErr w:type="spellEnd"/>
      <w:r>
        <w:t xml:space="preserve"> also said 2PL since it doesn’t have conflicting commands with locks.</w:t>
      </w:r>
      <w:r>
        <w:br/>
      </w:r>
      <w:r w:rsidR="0037175C">
        <w:br/>
      </w:r>
      <w:bookmarkStart w:id="0" w:name="_GoBack"/>
      <w:bookmarkEnd w:id="0"/>
    </w:p>
    <w:p w:rsidR="002472A9" w:rsidRDefault="00653CCB" w:rsidP="002472A9">
      <w:pPr>
        <w:pStyle w:val="ListParagraph"/>
        <w:numPr>
          <w:ilvl w:val="0"/>
          <w:numId w:val="3"/>
        </w:numPr>
        <w:rPr>
          <w:b/>
        </w:rPr>
      </w:pPr>
      <w:r w:rsidRPr="00653CCB">
        <w:rPr>
          <w:b/>
        </w:rPr>
        <w:t>T1:R(X), T1:R(Y), T1:W(X), T2:R(Y), T3:W(Y), T1:W(X), T2:R(Y)</w:t>
      </w:r>
      <w:r w:rsidR="002472A9">
        <w:rPr>
          <w:b/>
        </w:rPr>
        <w:br/>
      </w:r>
    </w:p>
    <w:p w:rsidR="00653CCB" w:rsidRPr="001C691A" w:rsidRDefault="002472A9" w:rsidP="0037175C">
      <w:pPr>
        <w:pStyle w:val="ListParagraph"/>
        <w:numPr>
          <w:ilvl w:val="1"/>
          <w:numId w:val="2"/>
        </w:numPr>
        <w:rPr>
          <w:b/>
        </w:rPr>
      </w:pPr>
      <w:r w:rsidRPr="001C691A">
        <w:rPr>
          <w:rFonts w:ascii="Times New Roman" w:eastAsia="Times New Roman" w:hAnsi="Times New Roman" w:cs="Times New Roman"/>
        </w:rPr>
        <w:t>It</w:t>
      </w:r>
      <w:r w:rsidR="006157B6" w:rsidRPr="001C691A">
        <w:rPr>
          <w:rFonts w:ascii="Times New Roman" w:eastAsia="Times New Roman" w:hAnsi="Times New Roman" w:cs="Times New Roman"/>
        </w:rPr>
        <w:t xml:space="preserve"> does not</w:t>
      </w:r>
      <w:r w:rsidRPr="001C691A">
        <w:rPr>
          <w:rFonts w:ascii="Times New Roman" w:eastAsia="Times New Roman" w:hAnsi="Times New Roman" w:cs="Times New Roman"/>
        </w:rPr>
        <w:t xml:space="preserve"> seems to be serializable </w:t>
      </w:r>
      <w:r w:rsidR="006157B6" w:rsidRPr="001C691A">
        <w:rPr>
          <w:rFonts w:ascii="Times New Roman" w:eastAsia="Times New Roman" w:hAnsi="Times New Roman" w:cs="Times New Roman"/>
        </w:rPr>
        <w:t xml:space="preserve">because it </w:t>
      </w:r>
      <w:r w:rsidR="001C691A" w:rsidRPr="001C691A">
        <w:rPr>
          <w:rFonts w:ascii="Times New Roman" w:eastAsia="Times New Roman" w:hAnsi="Times New Roman" w:cs="Times New Roman"/>
        </w:rPr>
        <w:t>Reads Y again in T2 at last from T3 which forms a cycle and therefore</w:t>
      </w:r>
      <w:r w:rsidR="001C691A">
        <w:rPr>
          <w:rFonts w:ascii="Times New Roman" w:eastAsia="Times New Roman" w:hAnsi="Times New Roman" w:cs="Times New Roman"/>
        </w:rPr>
        <w:t xml:space="preserve"> it cannot be 2PL as well because it has to be serializable to be a 2PL schedule.</w:t>
      </w:r>
    </w:p>
    <w:sectPr w:rsidR="00653CCB" w:rsidRPr="001C69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47" w:rsidRDefault="00351647" w:rsidP="00923B89">
      <w:pPr>
        <w:spacing w:after="0" w:line="240" w:lineRule="auto"/>
      </w:pPr>
      <w:r>
        <w:separator/>
      </w:r>
    </w:p>
  </w:endnote>
  <w:endnote w:type="continuationSeparator" w:id="0">
    <w:p w:rsidR="00351647" w:rsidRDefault="00351647" w:rsidP="0092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47" w:rsidRDefault="00351647" w:rsidP="00923B89">
      <w:pPr>
        <w:spacing w:after="0" w:line="240" w:lineRule="auto"/>
      </w:pPr>
      <w:r>
        <w:separator/>
      </w:r>
    </w:p>
  </w:footnote>
  <w:footnote w:type="continuationSeparator" w:id="0">
    <w:p w:rsidR="00351647" w:rsidRDefault="00351647" w:rsidP="0092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B94" w:rsidRDefault="00B96B94" w:rsidP="00B96B94">
    <w:pPr>
      <w:pStyle w:val="Header"/>
      <w:jc w:val="right"/>
    </w:pPr>
    <w:r>
      <w:tab/>
    </w:r>
    <w:r>
      <w:tab/>
      <w:t>CS 440</w:t>
    </w:r>
  </w:p>
  <w:p w:rsidR="00923B89" w:rsidRDefault="00923B89" w:rsidP="00923B89">
    <w:pPr>
      <w:pStyle w:val="Header"/>
      <w:jc w:val="right"/>
    </w:pPr>
    <w:r>
      <w:t>Anand Kothari</w:t>
    </w:r>
  </w:p>
  <w:p w:rsidR="00923B89" w:rsidRDefault="00923B89" w:rsidP="009C6719">
    <w:pPr>
      <w:pStyle w:val="Header"/>
      <w:jc w:val="center"/>
    </w:pPr>
    <w:r>
      <w:t>Assignment-4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43E"/>
    <w:multiLevelType w:val="hybridMultilevel"/>
    <w:tmpl w:val="CC22E042"/>
    <w:lvl w:ilvl="0" w:tplc="8188A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02F7"/>
    <w:multiLevelType w:val="hybridMultilevel"/>
    <w:tmpl w:val="F2180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E5450"/>
    <w:multiLevelType w:val="hybridMultilevel"/>
    <w:tmpl w:val="713C8620"/>
    <w:lvl w:ilvl="0" w:tplc="8EF0F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7F1162"/>
    <w:multiLevelType w:val="hybridMultilevel"/>
    <w:tmpl w:val="10D88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9A"/>
    <w:rsid w:val="00053A5C"/>
    <w:rsid w:val="000D5F19"/>
    <w:rsid w:val="001C691A"/>
    <w:rsid w:val="002472A9"/>
    <w:rsid w:val="00351647"/>
    <w:rsid w:val="0037175C"/>
    <w:rsid w:val="0046189A"/>
    <w:rsid w:val="005F0D0A"/>
    <w:rsid w:val="006157B6"/>
    <w:rsid w:val="00653CCB"/>
    <w:rsid w:val="00675B3B"/>
    <w:rsid w:val="00694402"/>
    <w:rsid w:val="00797CCD"/>
    <w:rsid w:val="008A46AE"/>
    <w:rsid w:val="00923B89"/>
    <w:rsid w:val="009C6719"/>
    <w:rsid w:val="00B96B94"/>
    <w:rsid w:val="00BB662C"/>
    <w:rsid w:val="00E6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2638A-C2E4-49A0-82C8-D5E0AAEF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8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3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B89"/>
  </w:style>
  <w:style w:type="paragraph" w:styleId="Footer">
    <w:name w:val="footer"/>
    <w:basedOn w:val="Normal"/>
    <w:link w:val="FooterChar"/>
    <w:uiPriority w:val="99"/>
    <w:unhideWhenUsed/>
    <w:rsid w:val="00923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Anand Shantilal</dc:creator>
  <cp:keywords/>
  <dc:description/>
  <cp:lastModifiedBy>Kothari, Anand Shantilal</cp:lastModifiedBy>
  <cp:revision>9</cp:revision>
  <dcterms:created xsi:type="dcterms:W3CDTF">2018-02-07T08:08:00Z</dcterms:created>
  <dcterms:modified xsi:type="dcterms:W3CDTF">2018-02-09T01:10:00Z</dcterms:modified>
</cp:coreProperties>
</file>