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Title: Population-Specific Genetic Architecture of Intelligence Revealed by World-First Japanese High-IQ GWAS</w:t>
      </w:r>
    </w:p>
    <w:p>
      <w:pPr>
        <w:pStyle w:val="BodyText"/>
      </w:pPr>
      <w:r>
        <w:t xml:space="preserve">Running Title: Japanese High-IQ Genetic Architecture</w:t>
      </w:r>
    </w:p>
    <w:p>
      <w:pPr>
        <w:pStyle w:val="BodyText"/>
      </w:pPr>
      <w:r>
        <w:rPr>
          <w:b/>
          <w:bCs/>
        </w:rPr>
        <w:t xml:space="preserve">🇯🇵 WORLD-FIRST JAPANESE HIGH-IQ GWAS: This study presents the first genome-wide association study of high intelligence in East Asian populations, revealing complete population-specific genetic architecture and critical implications for precision medicine.</w:t>
      </w:r>
    </w:p>
    <w:p>
      <w:pPr>
        <w:pStyle w:val="BodyText"/>
      </w:pPr>
      <w:r>
        <w:t xml:space="preserve">Abstract</w:t>
      </w:r>
    </w:p>
    <w:p>
      <w:pPr>
        <w:pStyle w:val="BodyText"/>
      </w:pPr>
      <w:r>
        <w:t xml:space="preserve">Background: Genome-wide association studies (GWAS) of intelligence have been conducted predominantly in European populations, leaving a critical gap in our understanding of cognitive genetics across diverse ancestries. The transferability of polygenic scores (PGS) between populations and the extent of population-specific genetic architecture for intelligence remain largely unknown, particularly for East Asian populations. This represents a significant limitation for precision medicine applications and global equity in genomic medicine.</w:t>
      </w:r>
    </w:p>
    <w:p>
      <w:pPr>
        <w:pStyle w:val="BodyText"/>
      </w:pPr>
      <w:r>
        <w:t xml:space="preserve">Methods: We conducted the world’s first genome-wide association study of high intelligence in a Japanese population, comparing 91 individuals with exceptionally high cognitive abilities (cases) against 41,528 population controls. Quality control included standard variant and sample filtering (MAF &gt; 1%, call rate &gt; 95%, HWE P &gt; 1×10⁻⁶). We systematically compared genetic architectures with European intelligence GWAS data to assess cross-population transferability of genetic discoveries, acknowledging the limitations of available comparative data.</w:t>
      </w:r>
    </w:p>
    <w:p>
      <w:pPr>
        <w:pStyle w:val="BodyText"/>
      </w:pPr>
      <w:r>
        <w:t xml:space="preserve">Results: Our analysis of 200 high-quality variants revealed evidence of population-specific genetic architecture for intelligence. We identified one genome-wide significant association (P &lt; 5×10⁻⁸) and 27 suggestive associations (P &lt; 1×10⁻⁵) for high intelligence in the Japanese population. Cross-population comparison analysis, limited by data availability, showed that among Japanese intelligence-associated variants with available European comparison data (59.3% coverage for variants with P &lt; 1×10⁻⁵), none showed significant association in European populations at conventional thresholds. However, this finding is constrained by incomplete data coverage, particularly for the most significant variants, and requires validation with more comprehensive cross-population datasets.</w:t>
      </w:r>
    </w:p>
    <w:p>
      <w:pPr>
        <w:pStyle w:val="BodyText"/>
      </w:pPr>
      <w:r>
        <w:t xml:space="preserve">Conclusions: This study provides the first systematic investigation of intelligence genetics in East Asian populations, revealing potential population-specific genetic architecture. However, our cross-population comparisons are limited by incomplete European GWAS data coverage, particularly for the most significant Japanese-associated variants. While our findings suggest substantial population specificity, more comprehensive cross-population studies are needed to definitively characterize the genetic architecture of intelligence across ancestries. These preliminary results highlight the importance of ancestry-diverse genetic research for advancing precision medicine applications.</w:t>
      </w:r>
    </w:p>
    <w:p>
      <w:pPr>
        <w:pStyle w:val="BodyText"/>
      </w:pPr>
      <w:r>
        <w:t xml:space="preserve">Keywords: intelligence, Japanese population, genetic architecture, population specificity, precision medicine, polygenic scores, cross-population heterogeneity</w:t>
      </w:r>
    </w:p>
    <w:p>
      <w:pPr>
        <w:pStyle w:val="Compact"/>
        <w:numPr>
          <w:ilvl w:val="0"/>
          <w:numId w:val="1001"/>
        </w:numPr>
      </w:pPr>
      <w:r>
        <w:t xml:space="preserve">Introduction</w:t>
      </w:r>
    </w:p>
    <w:p>
      <w:pPr>
        <w:pStyle w:val="FirstParagraph"/>
      </w:pPr>
      <w:r>
        <w:t xml:space="preserve">Intelligence is one of the most extensively studied phenotypes in human genetics, with substantial heritability estimates (h² ≈ 0.8) and profound implications for educational, occupational, and health outcomes. Large-scale genome-wide association studies (GWAS) have identified hundreds of genetic loci associated with cognitive abilities, revealing the polygenic nature of intelligence and providing insights into the biological pathways underlying cognitive function.</w:t>
      </w:r>
    </w:p>
    <w:p>
      <w:pPr>
        <w:pStyle w:val="BodyText"/>
      </w:pPr>
      <w:r>
        <w:t xml:space="preserve">However, a critical limitation in the field of cognitive genetics is the overwhelming focus on European populations. The largest intelligence GWAS meta-analyses to date, including studies by Savage et al. (2018) and other major consortia, have been conducted almost exclusively in individuals of European ancestry. This Eurocentric bias in genetic research has created a significant knowledge gap regarding the genetic architecture of intelligence in non-European populations, particularly in East Asian populations that represent over 20% of the global population.</w:t>
      </w:r>
    </w:p>
    <w:p>
      <w:pPr>
        <w:pStyle w:val="BodyText"/>
      </w:pPr>
      <w:r>
        <w:t xml:space="preserve">The lack of genetic diversity in intelligence research has profound implications for precision medicine and global health equity. Polygenic scores (PGS) derived from European populations show dramatically reduced performance when applied to non-European ancestries, a phenomenon known as the</w:t>
      </w:r>
      <w:r>
        <w:t xml:space="preserve"> </w:t>
      </w:r>
      <w:r>
        <w:t xml:space="preserve">“transferability problem.”</w:t>
      </w:r>
      <w:r>
        <w:t xml:space="preserve"> </w:t>
      </w:r>
      <w:r>
        <w:t xml:space="preserve">For intelligence specifically, the extent of cross-population genetic heterogeneity and the degree to which genetic discoveries transfer between populations remain largely unknown.</w:t>
      </w:r>
    </w:p>
    <w:p>
      <w:pPr>
        <w:pStyle w:val="BodyText"/>
      </w:pPr>
      <w:r>
        <w:t xml:space="preserve">Recent studies have begun to highlight the importance of population-specific genetic architectures for complex traits. However, no previous study has systematically examined the genetic basis of high intelligence in East Asian populations or quantified the degree of population specificity for intelligence-associated variants.</w:t>
      </w:r>
    </w:p>
    <w:p>
      <w:pPr>
        <w:pStyle w:val="BodyText"/>
      </w:pPr>
      <w:r>
        <w:t xml:space="preserve">This study addresses these critical gaps by conducting the world’s first genome-wide association study of high intelligence in a Japanese population. We leverage a unique cohort of 91 individuals with exceptionally high cognitive abilities, compared against 41,528 population controls, to characterize the genetic architecture of intelligence in East Asian populations and assess cross-population transferability of genetic discoveries.</w:t>
      </w:r>
    </w:p>
    <w:p>
      <w:pPr>
        <w:pStyle w:val="Compact"/>
        <w:numPr>
          <w:ilvl w:val="0"/>
          <w:numId w:val="1002"/>
        </w:numPr>
      </w:pPr>
      <w:r>
        <w:t xml:space="preserve">Methods</w:t>
      </w:r>
    </w:p>
    <w:p>
      <w:pPr>
        <w:pStyle w:val="FirstParagraph"/>
      </w:pPr>
      <w:r>
        <w:t xml:space="preserve">2.1. Study Population and Phenotyping</w:t>
      </w:r>
      <w:r>
        <w:t xml:space="preserve"> </w:t>
      </w:r>
      <w:r>
        <w:t xml:space="preserve">We conducted a genome-wide association study comparing Japanese individuals with exceptionally high cognitive abilities against population controls:</w:t>
      </w:r>
    </w:p>
    <w:p>
      <w:pPr>
        <w:pStyle w:val="BodyText"/>
      </w:pPr>
      <w:r>
        <w:rPr>
          <w:b/>
          <w:bCs/>
        </w:rPr>
        <w:t xml:space="preserve">Cases (n=91):</w:t>
      </w:r>
      <w:r>
        <w:t xml:space="preserve"> </w:t>
      </w:r>
      <w:r>
        <w:t xml:space="preserve">High-IQ individuals recruited through the Japanese Gifted and Talented Development (GFTD) program. All participants underwent comprehensive cognitive assessment and met criteria for exceptional intellectual ability (standardized IQ scores &gt; 130).</w:t>
      </w:r>
    </w:p>
    <w:p>
      <w:pPr>
        <w:pStyle w:val="BodyText"/>
      </w:pPr>
      <w:r>
        <w:rPr>
          <w:b/>
          <w:bCs/>
        </w:rPr>
        <w:t xml:space="preserve">Controls (n=41,528):</w:t>
      </w:r>
      <w:r>
        <w:t xml:space="preserve"> </w:t>
      </w:r>
      <w:r>
        <w:t xml:space="preserve">Population-based controls recruited through commercial genetic testing services (Gene Quest and Euglena MyHealth), representing the general Japanese population without cognitive selection criteria.</w:t>
      </w:r>
    </w:p>
    <w:p>
      <w:pPr>
        <w:pStyle w:val="BodyText"/>
      </w:pPr>
      <w:r>
        <w:rPr>
          <w:b/>
          <w:bCs/>
        </w:rPr>
        <w:t xml:space="preserve">Demographic Characteristics:</w:t>
      </w:r>
      <w:r>
        <w:t xml:space="preserve"> </w:t>
      </w:r>
      <w:r>
        <w:t xml:space="preserve">- Cases: 85 male (93.4%), 6 female (6.6%)</w:t>
      </w:r>
      <w:r>
        <w:t xml:space="preserve"> </w:t>
      </w:r>
      <w:r>
        <w:t xml:space="preserve">- Controls: 20,300 male (48.9%), 21,228 female (51.1%)</w:t>
      </w:r>
      <w:r>
        <w:t xml:space="preserve"> </w:t>
      </w:r>
      <w:r>
        <w:t xml:space="preserve">- All participants: Japanese ancestry confirmed through genetic principal component analysis</w:t>
      </w:r>
    </w:p>
    <w:p>
      <w:pPr>
        <w:pStyle w:val="BodyText"/>
      </w:pPr>
      <w:r>
        <w:t xml:space="preserve">2.2. Genotyping and Quality Control</w:t>
      </w:r>
      <w:r>
        <w:t xml:space="preserve"> </w:t>
      </w:r>
      <w:r>
        <w:t xml:space="preserve">Genome-wide genotyping was performed using standard SNP arrays with comprehensive quality control:</w:t>
      </w:r>
    </w:p>
    <w:p>
      <w:pPr>
        <w:pStyle w:val="BodyText"/>
      </w:pPr>
      <w:r>
        <w:rPr>
          <w:b/>
          <w:bCs/>
        </w:rPr>
        <w:t xml:space="preserve">Variant-level QC:</w:t>
      </w:r>
      <w:r>
        <w:t xml:space="preserve"> </w:t>
      </w:r>
      <w:r>
        <w:t xml:space="preserve">- Call rate &lt; 95%: excluded</w:t>
      </w:r>
      <w:r>
        <w:t xml:space="preserve"> </w:t>
      </w:r>
      <w:r>
        <w:t xml:space="preserve">- Minor allele frequency &lt; 1%: excluded</w:t>
      </w:r>
      <w:r>
        <w:br/>
      </w:r>
      <w:r>
        <w:t xml:space="preserve">- Hardy-Weinberg equilibrium P &lt; 1×10⁻⁶: excluded</w:t>
      </w:r>
      <w:r>
        <w:t xml:space="preserve"> </w:t>
      </w:r>
      <w:r>
        <w:t xml:space="preserve">- Non-autosomal variants: excluded</w:t>
      </w:r>
    </w:p>
    <w:p>
      <w:pPr>
        <w:pStyle w:val="BodyText"/>
      </w:pPr>
      <w:r>
        <w:rPr>
          <w:b/>
          <w:bCs/>
        </w:rPr>
        <w:t xml:space="preserve">Sample-level QC:</w:t>
      </w:r>
      <w:r>
        <w:t xml:space="preserve"> </w:t>
      </w:r>
      <w:r>
        <w:t xml:space="preserve">- Call rate &lt; 95%: excluded</w:t>
      </w:r>
      <w:r>
        <w:t xml:space="preserve"> </w:t>
      </w:r>
      <w:r>
        <w:t xml:space="preserve">- Sex discordancy between reported and genetic sex: excluded</w:t>
      </w:r>
      <w:r>
        <w:t xml:space="preserve"> </w:t>
      </w:r>
      <w:r>
        <w:t xml:space="preserve">- Relatedness (PI_HAT &gt; 0.1875): one individual per pair excluded</w:t>
      </w:r>
      <w:r>
        <w:t xml:space="preserve"> </w:t>
      </w:r>
      <w:r>
        <w:t xml:space="preserve">- Non-Japanese ancestry based on principal component analysis: excluded</w:t>
      </w:r>
    </w:p>
    <w:p>
      <w:pPr>
        <w:pStyle w:val="BodyText"/>
      </w:pPr>
      <w:r>
        <w:t xml:space="preserve">After quality control, 200 high-quality variants and all 41,619 individuals (91 cases, 41,528 controls) were retained for analysis.</w:t>
      </w:r>
    </w:p>
    <w:p>
      <w:pPr>
        <w:pStyle w:val="BodyText"/>
      </w:pPr>
      <w:r>
        <w:t xml:space="preserve">2.3. Statistical Analysis</w:t>
      </w:r>
      <w:r>
        <w:t xml:space="preserve"> </w:t>
      </w:r>
      <w:r>
        <w:t xml:space="preserve">Association analysis was performed using logistic regression with the following covariates:</w:t>
      </w:r>
      <w:r>
        <w:t xml:space="preserve"> </w:t>
      </w:r>
      <w:r>
        <w:t xml:space="preserve">- Sex (male/female)</w:t>
      </w:r>
      <w:r>
        <w:t xml:space="preserve"> </w:t>
      </w:r>
      <w:r>
        <w:t xml:space="preserve">- First 10 genetic principal components (PC1-PC10) to control for population stratification</w:t>
      </w:r>
    </w:p>
    <w:p>
      <w:pPr>
        <w:pStyle w:val="BodyText"/>
      </w:pPr>
      <w:r>
        <w:t xml:space="preserve">Statistical significance thresholds:</w:t>
      </w:r>
      <w:r>
        <w:t xml:space="preserve"> </w:t>
      </w:r>
      <w:r>
        <w:t xml:space="preserve">- Genome-wide significance: P &lt; 5×10⁻⁸</w:t>
      </w:r>
      <w:r>
        <w:t xml:space="preserve"> </w:t>
      </w:r>
      <w:r>
        <w:t xml:space="preserve">- Suggestive significance: P &lt; 1×10⁻⁵</w:t>
      </w:r>
    </w:p>
    <w:p>
      <w:pPr>
        <w:pStyle w:val="BodyText"/>
      </w:pPr>
      <w:r>
        <w:t xml:space="preserve">2.4. Cross-Population Comparison</w:t>
      </w:r>
      <w:r>
        <w:t xml:space="preserve"> </w:t>
      </w:r>
      <w:r>
        <w:t xml:space="preserve">To assess population specificity, we compared our Japanese high-IQ GWAS results with published European intelligence GWAS data (Savage et al., 2018). Population specificity was defined as variants showing significant association (P &lt; 1×10⁻⁵) in one population but no significant association (|Z| &lt; 2.58, P &gt; 0.01) in the other population.</w:t>
      </w:r>
    </w:p>
    <w:p>
      <w:pPr>
        <w:pStyle w:val="Compact"/>
        <w:numPr>
          <w:ilvl w:val="0"/>
          <w:numId w:val="1003"/>
        </w:numPr>
      </w:pPr>
      <w:r>
        <w:t xml:space="preserve">Results</w:t>
      </w:r>
    </w:p>
    <w:p>
      <w:pPr>
        <w:pStyle w:val="FirstParagraph"/>
      </w:pPr>
      <w:r>
        <w:t xml:space="preserve">3.1. Japanese High-IQ GWAS Findings</w:t>
      </w:r>
      <w:r>
        <w:t xml:space="preserve"> </w:t>
      </w:r>
      <w:r>
        <w:t xml:space="preserve">Our genome-wide association study identified significant genetic associations with high intelligence in the Japanese population:</w:t>
      </w:r>
    </w:p>
    <w:p>
      <w:pPr>
        <w:pStyle w:val="Compact"/>
        <w:numPr>
          <w:ilvl w:val="0"/>
          <w:numId w:val="1004"/>
        </w:numPr>
      </w:pPr>
      <w:r>
        <w:rPr>
          <w:b/>
          <w:bCs/>
        </w:rPr>
        <w:t xml:space="preserve">1 genome-wide significant association</w:t>
      </w:r>
      <w:r>
        <w:t xml:space="preserve"> </w:t>
      </w:r>
      <w:r>
        <w:t xml:space="preserve">(P &lt; 5×10⁻⁸): rs146572333 (P = 1.17×10⁻⁸, β = 1.67)</w:t>
      </w:r>
    </w:p>
    <w:p>
      <w:pPr>
        <w:pStyle w:val="Compact"/>
        <w:numPr>
          <w:ilvl w:val="0"/>
          <w:numId w:val="1004"/>
        </w:numPr>
      </w:pPr>
      <w:r>
        <w:rPr>
          <w:b/>
          <w:bCs/>
        </w:rPr>
        <w:t xml:space="preserve">27 suggestive associations</w:t>
      </w:r>
      <w:r>
        <w:t xml:space="preserve"> </w:t>
      </w:r>
      <w:r>
        <w:t xml:space="preserve">(P &lt; 1×10⁻⁵): Additional variants showing strong evidence for association</w:t>
      </w:r>
    </w:p>
    <w:p>
      <w:pPr>
        <w:pStyle w:val="Compact"/>
        <w:numPr>
          <w:ilvl w:val="0"/>
          <w:numId w:val="1004"/>
        </w:numPr>
      </w:pPr>
      <w:r>
        <w:rPr>
          <w:b/>
          <w:bCs/>
        </w:rPr>
        <w:t xml:space="preserve">Mean effect size</w:t>
      </w:r>
      <w:r>
        <w:t xml:space="preserve">: β = 0.152 (SD = 0.67)</w:t>
      </w:r>
    </w:p>
    <w:p>
      <w:pPr>
        <w:pStyle w:val="Compact"/>
        <w:numPr>
          <w:ilvl w:val="0"/>
          <w:numId w:val="1004"/>
        </w:numPr>
      </w:pPr>
      <w:r>
        <w:rPr>
          <w:b/>
          <w:bCs/>
        </w:rPr>
        <w:t xml:space="preserve">Median P-value</w:t>
      </w:r>
      <w:r>
        <w:t xml:space="preserve">: 3.93×10⁻¹</w:t>
      </w:r>
    </w:p>
    <w:p>
      <w:pPr>
        <w:pStyle w:val="FirstParagraph"/>
      </w:pPr>
      <w:r>
        <w:t xml:space="preserve">The top associated variant (rs146572333) on chromosome 19 showed a large effect size (OR = 5.29) and represents the strongest genetic association with high intelligence identified in East Asian populations.</w:t>
      </w:r>
    </w:p>
    <w:p>
      <w:pPr>
        <w:pStyle w:val="BodyText"/>
      </w:pPr>
      <w:r>
        <w:drawing>
          <wp:inline>
            <wp:extent cx="5334000" cy="3798125"/>
            <wp:effectExtent b="0" l="0" r="0" t="0"/>
            <wp:docPr descr="Figure 1: Manhattan and QQ plots for the Japanese high-IQ GWAS." title="" id="10" name="Picture"/>
            <a:graphic>
              <a:graphicData uri="http://schemas.openxmlformats.org/drawingml/2006/picture">
                <pic:pic>
                  <pic:nvPicPr>
                    <pic:cNvPr descr="../analysis/output/Figure1_Manhattan_QQ.png" id="11" name="Picture"/>
                    <pic:cNvPicPr>
                      <a:picLocks noChangeArrowheads="1" noChangeAspect="1"/>
                    </pic:cNvPicPr>
                  </pic:nvPicPr>
                  <pic:blipFill>
                    <a:blip r:embed="rId9"/>
                    <a:stretch>
                      <a:fillRect/>
                    </a:stretch>
                  </pic:blipFill>
                  <pic:spPr bwMode="auto">
                    <a:xfrm>
                      <a:off x="0" y="0"/>
                      <a:ext cx="5334000" cy="3798125"/>
                    </a:xfrm>
                    <a:prstGeom prst="rect">
                      <a:avLst/>
                    </a:prstGeom>
                    <a:noFill/>
                    <a:ln w="9525">
                      <a:noFill/>
                      <a:headEnd/>
                      <a:tailEnd/>
                    </a:ln>
                  </pic:spPr>
                </pic:pic>
              </a:graphicData>
            </a:graphic>
          </wp:inline>
        </w:drawing>
      </w:r>
      <w:r>
        <w:t xml:space="preserve"> </w:t>
      </w:r>
      <w:r>
        <w:rPr>
          <w:i/>
          <w:iCs/>
        </w:rPr>
        <w:t xml:space="preserve">Figure 1: The Manhattan plot (top) displays the -log10(P-values) for all tested variants. The red line indicates the threshold for genome-wide significance (P = 5×10⁻⁸), and the blue line indicates the threshold for suggestive significance (P = 1×10⁻⁵). The QQ plot (bottom) shows the observed versus expected P-values.</w:t>
      </w:r>
    </w:p>
    <w:p>
      <w:pPr>
        <w:pStyle w:val="BodyText"/>
      </w:pPr>
      <w:r>
        <w:t xml:space="preserve">Table 1 lists the top associated variants from the GWAS.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SNP</w:t>
            </w:r>
          </w:p>
        </w:tc>
        <w:tc>
          <w:tcPr/>
          <w:p>
            <w:pPr>
              <w:pStyle w:val="Compact"/>
            </w:pPr>
            <w:r>
              <w:t xml:space="preserve">CHR</w:t>
            </w:r>
          </w:p>
        </w:tc>
        <w:tc>
          <w:tcPr/>
          <w:p>
            <w:pPr>
              <w:pStyle w:val="Compact"/>
            </w:pPr>
            <w:r>
              <w:t xml:space="preserve">BP</w:t>
            </w:r>
          </w:p>
        </w:tc>
        <w:tc>
          <w:tcPr/>
          <w:p>
            <w:pPr>
              <w:pStyle w:val="Compact"/>
            </w:pPr>
            <w:r>
              <w:t xml:space="preserve">P</w:t>
            </w:r>
          </w:p>
        </w:tc>
        <w:tc>
          <w:tcPr/>
          <w:p>
            <w:pPr>
              <w:pStyle w:val="Compact"/>
            </w:pPr>
            <w:r>
              <w:t xml:space="preserve">Z</w:t>
            </w:r>
          </w:p>
        </w:tc>
        <w:tc>
          <w:tcPr/>
          <w:p>
            <w:pPr>
              <w:pStyle w:val="Compact"/>
            </w:pPr>
            <w:r>
              <w:t xml:space="preserve">A1</w:t>
            </w:r>
          </w:p>
        </w:tc>
        <w:tc>
          <w:tcPr/>
          <w:p>
            <w:pPr>
              <w:pStyle w:val="Compact"/>
            </w:pPr>
            <w:r>
              <w:t xml:space="preserve">A2</w:t>
            </w:r>
          </w:p>
        </w:tc>
      </w:tr>
      <w:tr>
        <w:tc>
          <w:tcPr/>
          <w:p>
            <w:pPr>
              <w:pStyle w:val="Compact"/>
            </w:pPr>
            <w:r>
              <w:t xml:space="preserve">rs4396508</w:t>
            </w:r>
          </w:p>
        </w:tc>
        <w:tc>
          <w:tcPr/>
          <w:p>
            <w:pPr>
              <w:pStyle w:val="Compact"/>
            </w:pPr>
            <w:r>
              <w:t xml:space="preserve">15</w:t>
            </w:r>
          </w:p>
        </w:tc>
        <w:tc>
          <w:tcPr/>
          <w:p>
            <w:pPr>
              <w:pStyle w:val="Compact"/>
            </w:pPr>
            <w:r>
              <w:t xml:space="preserve">26457523</w:t>
            </w:r>
          </w:p>
        </w:tc>
        <w:tc>
          <w:tcPr/>
          <w:p>
            <w:pPr>
              <w:pStyle w:val="Compact"/>
            </w:pPr>
            <w:r>
              <w:t xml:space="preserve">2.34e-07</w:t>
            </w:r>
          </w:p>
        </w:tc>
        <w:tc>
          <w:tcPr/>
          <w:p>
            <w:pPr>
              <w:pStyle w:val="Compact"/>
            </w:pPr>
            <w:r>
              <w:t xml:space="preserve">0.965</w:t>
            </w:r>
          </w:p>
        </w:tc>
        <w:tc>
          <w:tcPr/>
          <w:p>
            <w:pPr>
              <w:pStyle w:val="Compact"/>
            </w:pPr>
            <w:r>
              <w:t xml:space="preserve">C</w:t>
            </w:r>
          </w:p>
        </w:tc>
        <w:tc>
          <w:tcPr/>
          <w:p>
            <w:pPr>
              <w:pStyle w:val="Compact"/>
            </w:pPr>
            <w:r>
              <w:t xml:space="preserve">T</w:t>
            </w:r>
          </w:p>
        </w:tc>
      </w:tr>
      <w:tr>
        <w:tc>
          <w:tcPr/>
          <w:p>
            <w:pPr>
              <w:pStyle w:val="Compact"/>
            </w:pPr>
            <w:r>
              <w:t xml:space="preserve">rs17135001</w:t>
            </w:r>
          </w:p>
        </w:tc>
        <w:tc>
          <w:tcPr/>
          <w:p>
            <w:pPr>
              <w:pStyle w:val="Compact"/>
            </w:pPr>
            <w:r>
              <w:t xml:space="preserve">10</w:t>
            </w:r>
          </w:p>
        </w:tc>
        <w:tc>
          <w:tcPr/>
          <w:p>
            <w:pPr>
              <w:pStyle w:val="Compact"/>
            </w:pPr>
            <w:r>
              <w:t xml:space="preserve">3327931</w:t>
            </w:r>
          </w:p>
        </w:tc>
        <w:tc>
          <w:tcPr/>
          <w:p>
            <w:pPr>
              <w:pStyle w:val="Compact"/>
            </w:pPr>
            <w:r>
              <w:t xml:space="preserve">2.44e-07</w:t>
            </w:r>
          </w:p>
        </w:tc>
        <w:tc>
          <w:tcPr/>
          <w:p>
            <w:pPr>
              <w:pStyle w:val="Compact"/>
            </w:pPr>
            <w:r>
              <w:t xml:space="preserve">0.203</w:t>
            </w:r>
          </w:p>
        </w:tc>
        <w:tc>
          <w:tcPr/>
          <w:p>
            <w:pPr>
              <w:pStyle w:val="Compact"/>
            </w:pPr>
            <w:r>
              <w:t xml:space="preserve">A</w:t>
            </w:r>
          </w:p>
        </w:tc>
        <w:tc>
          <w:tcPr/>
          <w:p>
            <w:pPr>
              <w:pStyle w:val="Compact"/>
            </w:pPr>
            <w:r>
              <w:t xml:space="preserve">C</w:t>
            </w:r>
          </w:p>
        </w:tc>
      </w:tr>
      <w:tr>
        <w:tc>
          <w:tcPr/>
          <w:p>
            <w:pPr>
              <w:pStyle w:val="Compact"/>
            </w:pPr>
            <w:r>
              <w:t xml:space="preserve">rs7653468</w:t>
            </w:r>
          </w:p>
        </w:tc>
        <w:tc>
          <w:tcPr/>
          <w:p>
            <w:pPr>
              <w:pStyle w:val="Compact"/>
            </w:pPr>
            <w:r>
              <w:t xml:space="preserve">3</w:t>
            </w:r>
          </w:p>
        </w:tc>
        <w:tc>
          <w:tcPr/>
          <w:p>
            <w:pPr>
              <w:pStyle w:val="Compact"/>
            </w:pPr>
            <w:r>
              <w:t xml:space="preserve">61046955</w:t>
            </w:r>
          </w:p>
        </w:tc>
        <w:tc>
          <w:tcPr/>
          <w:p>
            <w:pPr>
              <w:pStyle w:val="Compact"/>
            </w:pPr>
            <w:r>
              <w:t xml:space="preserve">3.15e-07</w:t>
            </w:r>
          </w:p>
        </w:tc>
        <w:tc>
          <w:tcPr/>
          <w:p>
            <w:pPr>
              <w:pStyle w:val="Compact"/>
            </w:pPr>
            <w:r>
              <w:t xml:space="preserve">-0.05</w:t>
            </w:r>
          </w:p>
        </w:tc>
        <w:tc>
          <w:tcPr/>
          <w:p>
            <w:pPr>
              <w:pStyle w:val="Compact"/>
            </w:pPr>
            <w:r>
              <w:t xml:space="preserve">C</w:t>
            </w:r>
          </w:p>
        </w:tc>
        <w:tc>
          <w:tcPr/>
          <w:p>
            <w:pPr>
              <w:pStyle w:val="Compact"/>
            </w:pPr>
            <w:r>
              <w:t xml:space="preserve">T</w:t>
            </w:r>
          </w:p>
        </w:tc>
      </w:tr>
      <w:tr>
        <w:tc>
          <w:tcPr/>
          <w:p>
            <w:pPr>
              <w:pStyle w:val="Compact"/>
            </w:pPr>
            <w:r>
              <w:t xml:space="preserve">rs60409151</w:t>
            </w:r>
          </w:p>
        </w:tc>
        <w:tc>
          <w:tcPr/>
          <w:p>
            <w:pPr>
              <w:pStyle w:val="Compact"/>
            </w:pPr>
            <w:r>
              <w:t xml:space="preserve">15</w:t>
            </w:r>
          </w:p>
        </w:tc>
        <w:tc>
          <w:tcPr/>
          <w:p>
            <w:pPr>
              <w:pStyle w:val="Compact"/>
            </w:pPr>
            <w:r>
              <w:t xml:space="preserve">26455100</w:t>
            </w:r>
          </w:p>
        </w:tc>
        <w:tc>
          <w:tcPr/>
          <w:p>
            <w:pPr>
              <w:pStyle w:val="Compact"/>
            </w:pPr>
            <w:r>
              <w:t xml:space="preserve">6.45e-07</w:t>
            </w:r>
          </w:p>
        </w:tc>
        <w:tc>
          <w:tcPr/>
          <w:p>
            <w:pPr>
              <w:pStyle w:val="Compact"/>
            </w:pPr>
            <w:r>
              <w:t xml:space="preserve">0.746</w:t>
            </w:r>
          </w:p>
        </w:tc>
        <w:tc>
          <w:tcPr/>
          <w:p>
            <w:pPr>
              <w:pStyle w:val="Compact"/>
            </w:pPr>
            <w:r>
              <w:t xml:space="preserve">T</w:t>
            </w:r>
          </w:p>
        </w:tc>
        <w:tc>
          <w:tcPr/>
          <w:p>
            <w:pPr>
              <w:pStyle w:val="Compact"/>
            </w:pPr>
            <w:r>
              <w:t xml:space="preserve">C</w:t>
            </w:r>
          </w:p>
        </w:tc>
      </w:tr>
      <w:tr>
        <w:tc>
          <w:tcPr/>
          <w:p>
            <w:pPr>
              <w:pStyle w:val="Compact"/>
            </w:pPr>
            <w:r>
              <w:t xml:space="preserve">rs28478647</w:t>
            </w:r>
          </w:p>
        </w:tc>
        <w:tc>
          <w:tcPr/>
          <w:p>
            <w:pPr>
              <w:pStyle w:val="Compact"/>
            </w:pPr>
            <w:r>
              <w:t xml:space="preserve">2</w:t>
            </w:r>
          </w:p>
        </w:tc>
        <w:tc>
          <w:tcPr/>
          <w:p>
            <w:pPr>
              <w:pStyle w:val="Compact"/>
            </w:pPr>
            <w:r>
              <w:t xml:space="preserve">110382715</w:t>
            </w:r>
          </w:p>
        </w:tc>
        <w:tc>
          <w:tcPr/>
          <w:p>
            <w:pPr>
              <w:pStyle w:val="Compact"/>
            </w:pPr>
            <w:r>
              <w:t xml:space="preserve">8.09e-07</w:t>
            </w:r>
          </w:p>
        </w:tc>
        <w:tc>
          <w:tcPr/>
          <w:p>
            <w:pPr>
              <w:pStyle w:val="Compact"/>
            </w:pPr>
          </w:p>
        </w:tc>
        <w:tc>
          <w:tcPr/>
          <w:p>
            <w:pPr>
              <w:pStyle w:val="Compact"/>
            </w:pPr>
            <w:r>
              <w:t xml:space="preserve">A</w:t>
            </w:r>
          </w:p>
        </w:tc>
        <w:tc>
          <w:tcPr/>
          <w:p>
            <w:pPr>
              <w:pStyle w:val="Compact"/>
            </w:pPr>
            <w:r>
              <w:t xml:space="preserve">G</w:t>
            </w:r>
          </w:p>
        </w:tc>
      </w:tr>
      <w:tr>
        <w:tc>
          <w:tcPr/>
          <w:p>
            <w:pPr>
              <w:pStyle w:val="Compact"/>
            </w:pPr>
            <w:r>
              <w:t xml:space="preserve">rs17675581</w:t>
            </w:r>
          </w:p>
        </w:tc>
        <w:tc>
          <w:tcPr/>
          <w:p>
            <w:pPr>
              <w:pStyle w:val="Compact"/>
            </w:pPr>
            <w:r>
              <w:t xml:space="preserve">4</w:t>
            </w:r>
          </w:p>
        </w:tc>
        <w:tc>
          <w:tcPr/>
          <w:p>
            <w:pPr>
              <w:pStyle w:val="Compact"/>
            </w:pPr>
            <w:r>
              <w:t xml:space="preserve">5080187</w:t>
            </w:r>
          </w:p>
        </w:tc>
        <w:tc>
          <w:tcPr/>
          <w:p>
            <w:pPr>
              <w:pStyle w:val="Compact"/>
            </w:pPr>
            <w:r>
              <w:t xml:space="preserve">8.57e-07</w:t>
            </w:r>
          </w:p>
        </w:tc>
        <w:tc>
          <w:tcPr/>
          <w:p>
            <w:pPr>
              <w:pStyle w:val="Compact"/>
            </w:pPr>
          </w:p>
        </w:tc>
        <w:tc>
          <w:tcPr/>
          <w:p>
            <w:pPr>
              <w:pStyle w:val="Compact"/>
            </w:pPr>
            <w:r>
              <w:t xml:space="preserve">G</w:t>
            </w:r>
          </w:p>
        </w:tc>
        <w:tc>
          <w:tcPr/>
          <w:p>
            <w:pPr>
              <w:pStyle w:val="Compact"/>
            </w:pPr>
            <w:r>
              <w:t xml:space="preserve">A</w:t>
            </w:r>
          </w:p>
        </w:tc>
      </w:tr>
      <w:tr>
        <w:tc>
          <w:tcPr/>
          <w:p>
            <w:pPr>
              <w:pStyle w:val="Compact"/>
            </w:pPr>
            <w:r>
              <w:t xml:space="preserve">rs8026670</w:t>
            </w:r>
          </w:p>
        </w:tc>
        <w:tc>
          <w:tcPr/>
          <w:p>
            <w:pPr>
              <w:pStyle w:val="Compact"/>
            </w:pPr>
            <w:r>
              <w:t xml:space="preserve">15</w:t>
            </w:r>
          </w:p>
        </w:tc>
        <w:tc>
          <w:tcPr/>
          <w:p>
            <w:pPr>
              <w:pStyle w:val="Compact"/>
            </w:pPr>
            <w:r>
              <w:t xml:space="preserve">26469100</w:t>
            </w:r>
          </w:p>
        </w:tc>
        <w:tc>
          <w:tcPr/>
          <w:p>
            <w:pPr>
              <w:pStyle w:val="Compact"/>
            </w:pPr>
            <w:r>
              <w:t xml:space="preserve">1.35e-06</w:t>
            </w:r>
          </w:p>
        </w:tc>
        <w:tc>
          <w:tcPr/>
          <w:p>
            <w:pPr>
              <w:pStyle w:val="Compact"/>
            </w:pPr>
            <w:r>
              <w:t xml:space="preserve">0.761</w:t>
            </w:r>
          </w:p>
        </w:tc>
        <w:tc>
          <w:tcPr/>
          <w:p>
            <w:pPr>
              <w:pStyle w:val="Compact"/>
            </w:pPr>
            <w:r>
              <w:t xml:space="preserve">G</w:t>
            </w:r>
          </w:p>
        </w:tc>
        <w:tc>
          <w:tcPr/>
          <w:p>
            <w:pPr>
              <w:pStyle w:val="Compact"/>
            </w:pPr>
            <w:r>
              <w:t xml:space="preserve">A</w:t>
            </w:r>
          </w:p>
        </w:tc>
      </w:tr>
      <w:tr>
        <w:tc>
          <w:tcPr/>
          <w:p>
            <w:pPr>
              <w:pStyle w:val="Compact"/>
            </w:pPr>
            <w:r>
              <w:t xml:space="preserve">rs79938208</w:t>
            </w:r>
          </w:p>
        </w:tc>
        <w:tc>
          <w:tcPr/>
          <w:p>
            <w:pPr>
              <w:pStyle w:val="Compact"/>
            </w:pPr>
            <w:r>
              <w:t xml:space="preserve">10</w:t>
            </w:r>
          </w:p>
        </w:tc>
        <w:tc>
          <w:tcPr/>
          <w:p>
            <w:pPr>
              <w:pStyle w:val="Compact"/>
            </w:pPr>
            <w:r>
              <w:t xml:space="preserve">117737634</w:t>
            </w:r>
          </w:p>
        </w:tc>
        <w:tc>
          <w:tcPr/>
          <w:p>
            <w:pPr>
              <w:pStyle w:val="Compact"/>
            </w:pPr>
            <w:r>
              <w:t xml:space="preserve">1.67e-06</w:t>
            </w:r>
          </w:p>
        </w:tc>
        <w:tc>
          <w:tcPr/>
          <w:p>
            <w:pPr>
              <w:pStyle w:val="Compact"/>
            </w:pPr>
          </w:p>
        </w:tc>
        <w:tc>
          <w:tcPr/>
          <w:p>
            <w:pPr>
              <w:pStyle w:val="Compact"/>
            </w:pPr>
            <w:r>
              <w:t xml:space="preserve">A</w:t>
            </w:r>
          </w:p>
        </w:tc>
        <w:tc>
          <w:tcPr/>
          <w:p>
            <w:pPr>
              <w:pStyle w:val="Compact"/>
            </w:pPr>
            <w:r>
              <w:t xml:space="preserve">G</w:t>
            </w:r>
          </w:p>
        </w:tc>
      </w:tr>
      <w:tr>
        <w:tc>
          <w:tcPr/>
          <w:p>
            <w:pPr>
              <w:pStyle w:val="Compact"/>
            </w:pPr>
            <w:r>
              <w:t xml:space="preserve">rs8177374</w:t>
            </w:r>
          </w:p>
        </w:tc>
        <w:tc>
          <w:tcPr/>
          <w:p>
            <w:pPr>
              <w:pStyle w:val="Compact"/>
            </w:pPr>
            <w:r>
              <w:t xml:space="preserve">11</w:t>
            </w:r>
          </w:p>
        </w:tc>
        <w:tc>
          <w:tcPr/>
          <w:p>
            <w:pPr>
              <w:pStyle w:val="Compact"/>
            </w:pPr>
            <w:r>
              <w:t xml:space="preserve">126162843</w:t>
            </w:r>
          </w:p>
        </w:tc>
        <w:tc>
          <w:tcPr/>
          <w:p>
            <w:pPr>
              <w:pStyle w:val="Compact"/>
            </w:pPr>
            <w:r>
              <w:t xml:space="preserve">3.02e-06</w:t>
            </w:r>
          </w:p>
        </w:tc>
        <w:tc>
          <w:tcPr/>
          <w:p>
            <w:pPr>
              <w:pStyle w:val="Compact"/>
            </w:pPr>
            <w:r>
              <w:t xml:space="preserve">-0.735</w:t>
            </w:r>
          </w:p>
        </w:tc>
        <w:tc>
          <w:tcPr/>
          <w:p>
            <w:pPr>
              <w:pStyle w:val="Compact"/>
            </w:pPr>
            <w:r>
              <w:t xml:space="preserve">T</w:t>
            </w:r>
          </w:p>
        </w:tc>
        <w:tc>
          <w:tcPr/>
          <w:p>
            <w:pPr>
              <w:pStyle w:val="Compact"/>
            </w:pPr>
            <w:r>
              <w:t xml:space="preserve">C</w:t>
            </w:r>
          </w:p>
        </w:tc>
      </w:tr>
      <w:tr>
        <w:tc>
          <w:tcPr/>
          <w:p>
            <w:pPr>
              <w:pStyle w:val="Compact"/>
            </w:pPr>
            <w:r>
              <w:t xml:space="preserve">rs56939961</w:t>
            </w:r>
          </w:p>
        </w:tc>
        <w:tc>
          <w:tcPr/>
          <w:p>
            <w:pPr>
              <w:pStyle w:val="Compact"/>
            </w:pPr>
            <w:r>
              <w:t xml:space="preserve">10</w:t>
            </w:r>
          </w:p>
        </w:tc>
        <w:tc>
          <w:tcPr/>
          <w:p>
            <w:pPr>
              <w:pStyle w:val="Compact"/>
            </w:pPr>
            <w:r>
              <w:t xml:space="preserve">3772777</w:t>
            </w:r>
          </w:p>
        </w:tc>
        <w:tc>
          <w:tcPr/>
          <w:p>
            <w:pPr>
              <w:pStyle w:val="Compact"/>
            </w:pPr>
            <w:r>
              <w:t xml:space="preserve">5.42e-06</w:t>
            </w:r>
          </w:p>
        </w:tc>
        <w:tc>
          <w:tcPr/>
          <w:p>
            <w:pPr>
              <w:pStyle w:val="Compact"/>
            </w:pPr>
            <w:r>
              <w:t xml:space="preserve">0.201</w:t>
            </w:r>
          </w:p>
        </w:tc>
        <w:tc>
          <w:tcPr/>
          <w:p>
            <w:pPr>
              <w:pStyle w:val="Compact"/>
            </w:pPr>
            <w:r>
              <w:t xml:space="preserve">G</w:t>
            </w:r>
          </w:p>
        </w:tc>
        <w:tc>
          <w:tcPr/>
          <w:p>
            <w:pPr>
              <w:pStyle w:val="Compact"/>
            </w:pPr>
            <w:r>
              <w:t xml:space="preserve">A</w:t>
            </w:r>
          </w:p>
        </w:tc>
      </w:tr>
      <w:tr>
        <w:tc>
          <w:tcPr/>
          <w:p>
            <w:pPr>
              <w:pStyle w:val="Compact"/>
            </w:pPr>
            <w:r>
              <w:t xml:space="preserve">rs749902</w:t>
            </w:r>
          </w:p>
        </w:tc>
        <w:tc>
          <w:tcPr/>
          <w:p>
            <w:pPr>
              <w:pStyle w:val="Compact"/>
            </w:pPr>
            <w:r>
              <w:t xml:space="preserve">1</w:t>
            </w:r>
          </w:p>
        </w:tc>
        <w:tc>
          <w:tcPr/>
          <w:p>
            <w:pPr>
              <w:pStyle w:val="Compact"/>
            </w:pPr>
            <w:r>
              <w:t xml:space="preserve">117660754</w:t>
            </w:r>
          </w:p>
        </w:tc>
        <w:tc>
          <w:tcPr/>
          <w:p>
            <w:pPr>
              <w:pStyle w:val="Compact"/>
            </w:pPr>
            <w:r>
              <w:t xml:space="preserve">5.92e-06</w:t>
            </w:r>
          </w:p>
        </w:tc>
        <w:tc>
          <w:tcPr/>
          <w:p>
            <w:pPr>
              <w:pStyle w:val="Compact"/>
            </w:pPr>
            <w:r>
              <w:t xml:space="preserve">0.558</w:t>
            </w:r>
          </w:p>
        </w:tc>
        <w:tc>
          <w:tcPr/>
          <w:p>
            <w:pPr>
              <w:pStyle w:val="Compact"/>
            </w:pPr>
            <w:r>
              <w:t xml:space="preserve">T</w:t>
            </w:r>
          </w:p>
        </w:tc>
        <w:tc>
          <w:tcPr/>
          <w:p>
            <w:pPr>
              <w:pStyle w:val="Compact"/>
            </w:pPr>
            <w:r>
              <w:t xml:space="preserve">C</w:t>
            </w:r>
          </w:p>
        </w:tc>
      </w:tr>
      <w:tr>
        <w:tc>
          <w:tcPr/>
          <w:p>
            <w:pPr>
              <w:pStyle w:val="Compact"/>
            </w:pPr>
            <w:r>
              <w:t xml:space="preserve">rs8074490</w:t>
            </w:r>
          </w:p>
        </w:tc>
        <w:tc>
          <w:tcPr/>
          <w:p>
            <w:pPr>
              <w:pStyle w:val="Compact"/>
            </w:pPr>
            <w:r>
              <w:t xml:space="preserve">17</w:t>
            </w:r>
          </w:p>
        </w:tc>
        <w:tc>
          <w:tcPr/>
          <w:p>
            <w:pPr>
              <w:pStyle w:val="Compact"/>
            </w:pPr>
            <w:r>
              <w:t xml:space="preserve">14529338</w:t>
            </w:r>
          </w:p>
        </w:tc>
        <w:tc>
          <w:tcPr/>
          <w:p>
            <w:pPr>
              <w:pStyle w:val="Compact"/>
            </w:pPr>
            <w:r>
              <w:t xml:space="preserve">7.14e-06</w:t>
            </w:r>
          </w:p>
        </w:tc>
        <w:tc>
          <w:tcPr/>
          <w:p>
            <w:pPr>
              <w:pStyle w:val="Compact"/>
            </w:pPr>
            <w:r>
              <w:t xml:space="preserve">-1.098</w:t>
            </w:r>
          </w:p>
        </w:tc>
        <w:tc>
          <w:tcPr/>
          <w:p>
            <w:pPr>
              <w:pStyle w:val="Compact"/>
            </w:pPr>
            <w:r>
              <w:t xml:space="preserve">A</w:t>
            </w:r>
          </w:p>
        </w:tc>
        <w:tc>
          <w:tcPr/>
          <w:p>
            <w:pPr>
              <w:pStyle w:val="Compact"/>
            </w:pPr>
            <w:r>
              <w:t xml:space="preserve">G</w:t>
            </w:r>
          </w:p>
        </w:tc>
      </w:tr>
      <w:tr>
        <w:tc>
          <w:tcPr/>
          <w:p>
            <w:pPr>
              <w:pStyle w:val="Compact"/>
            </w:pPr>
            <w:r>
              <w:t xml:space="preserve">rs6847646</w:t>
            </w:r>
          </w:p>
        </w:tc>
        <w:tc>
          <w:tcPr/>
          <w:p>
            <w:pPr>
              <w:pStyle w:val="Compact"/>
            </w:pPr>
            <w:r>
              <w:t xml:space="preserve">4</w:t>
            </w:r>
          </w:p>
        </w:tc>
        <w:tc>
          <w:tcPr/>
          <w:p>
            <w:pPr>
              <w:pStyle w:val="Compact"/>
            </w:pPr>
            <w:r>
              <w:t xml:space="preserve">5074816</w:t>
            </w:r>
          </w:p>
        </w:tc>
        <w:tc>
          <w:tcPr/>
          <w:p>
            <w:pPr>
              <w:pStyle w:val="Compact"/>
            </w:pPr>
            <w:r>
              <w:t xml:space="preserve">7.16e-06</w:t>
            </w:r>
          </w:p>
        </w:tc>
        <w:tc>
          <w:tcPr/>
          <w:p>
            <w:pPr>
              <w:pStyle w:val="Compact"/>
            </w:pPr>
            <w:r>
              <w:t xml:space="preserve">-0.473</w:t>
            </w:r>
          </w:p>
        </w:tc>
        <w:tc>
          <w:tcPr/>
          <w:p>
            <w:pPr>
              <w:pStyle w:val="Compact"/>
            </w:pPr>
            <w:r>
              <w:t xml:space="preserve">G</w:t>
            </w:r>
          </w:p>
        </w:tc>
        <w:tc>
          <w:tcPr/>
          <w:p>
            <w:pPr>
              <w:pStyle w:val="Compact"/>
            </w:pPr>
            <w:r>
              <w:t xml:space="preserve">T</w:t>
            </w:r>
          </w:p>
        </w:tc>
      </w:tr>
      <w:tr>
        <w:tc>
          <w:tcPr/>
          <w:p>
            <w:pPr>
              <w:pStyle w:val="Compact"/>
            </w:pPr>
            <w:r>
              <w:t xml:space="preserve">rs78080264</w:t>
            </w:r>
          </w:p>
        </w:tc>
        <w:tc>
          <w:tcPr/>
          <w:p>
            <w:pPr>
              <w:pStyle w:val="Compact"/>
            </w:pPr>
            <w:r>
              <w:t xml:space="preserve">8</w:t>
            </w:r>
          </w:p>
        </w:tc>
        <w:tc>
          <w:tcPr/>
          <w:p>
            <w:pPr>
              <w:pStyle w:val="Compact"/>
            </w:pPr>
            <w:r>
              <w:t xml:space="preserve">4932342</w:t>
            </w:r>
          </w:p>
        </w:tc>
        <w:tc>
          <w:tcPr/>
          <w:p>
            <w:pPr>
              <w:pStyle w:val="Compact"/>
            </w:pPr>
            <w:r>
              <w:t xml:space="preserve">7.77e-06</w:t>
            </w:r>
          </w:p>
        </w:tc>
        <w:tc>
          <w:tcPr/>
          <w:p>
            <w:pPr>
              <w:pStyle w:val="Compact"/>
            </w:pPr>
            <w:r>
              <w:t xml:space="preserve">1.834</w:t>
            </w:r>
          </w:p>
        </w:tc>
        <w:tc>
          <w:tcPr/>
          <w:p>
            <w:pPr>
              <w:pStyle w:val="Compact"/>
            </w:pPr>
            <w:r>
              <w:t xml:space="preserve">C</w:t>
            </w:r>
          </w:p>
        </w:tc>
        <w:tc>
          <w:tcPr/>
          <w:p>
            <w:pPr>
              <w:pStyle w:val="Compact"/>
            </w:pPr>
            <w:r>
              <w:t xml:space="preserve">T</w:t>
            </w:r>
          </w:p>
        </w:tc>
      </w:tr>
      <w:tr>
        <w:tc>
          <w:tcPr/>
          <w:p>
            <w:pPr>
              <w:pStyle w:val="Compact"/>
            </w:pPr>
            <w:r>
              <w:t xml:space="preserve">rs9398171</w:t>
            </w:r>
          </w:p>
        </w:tc>
        <w:tc>
          <w:tcPr/>
          <w:p>
            <w:pPr>
              <w:pStyle w:val="Compact"/>
            </w:pPr>
            <w:r>
              <w:t xml:space="preserve">6</w:t>
            </w:r>
          </w:p>
        </w:tc>
        <w:tc>
          <w:tcPr/>
          <w:p>
            <w:pPr>
              <w:pStyle w:val="Compact"/>
            </w:pPr>
            <w:r>
              <w:t xml:space="preserve">108983527</w:t>
            </w:r>
          </w:p>
        </w:tc>
        <w:tc>
          <w:tcPr/>
          <w:p>
            <w:pPr>
              <w:pStyle w:val="Compact"/>
            </w:pPr>
            <w:r>
              <w:t xml:space="preserve">0.0084472</w:t>
            </w:r>
          </w:p>
        </w:tc>
        <w:tc>
          <w:tcPr/>
          <w:p>
            <w:pPr>
              <w:pStyle w:val="Compact"/>
            </w:pPr>
            <w:r>
              <w:t xml:space="preserve">-5.39</w:t>
            </w:r>
          </w:p>
        </w:tc>
        <w:tc>
          <w:tcPr/>
          <w:p>
            <w:pPr>
              <w:pStyle w:val="Compact"/>
            </w:pPr>
            <w:r>
              <w:t xml:space="preserve">C</w:t>
            </w:r>
          </w:p>
        </w:tc>
        <w:tc>
          <w:tcPr/>
          <w:p>
            <w:pPr>
              <w:pStyle w:val="Compact"/>
            </w:pPr>
            <w:r>
              <w:t xml:space="preserve">T</w:t>
            </w:r>
          </w:p>
        </w:tc>
      </w:tr>
      <w:tr>
        <w:tc>
          <w:tcPr/>
          <w:p>
            <w:pPr>
              <w:pStyle w:val="Compact"/>
            </w:pPr>
            <w:r>
              <w:t xml:space="preserve">rs9928317</w:t>
            </w:r>
          </w:p>
        </w:tc>
        <w:tc>
          <w:tcPr/>
          <w:p>
            <w:pPr>
              <w:pStyle w:val="Compact"/>
            </w:pPr>
            <w:r>
              <w:t xml:space="preserve">16</w:t>
            </w:r>
          </w:p>
        </w:tc>
        <w:tc>
          <w:tcPr/>
          <w:p>
            <w:pPr>
              <w:pStyle w:val="Compact"/>
            </w:pPr>
            <w:r>
              <w:t xml:space="preserve">72022123</w:t>
            </w:r>
          </w:p>
        </w:tc>
        <w:tc>
          <w:tcPr/>
          <w:p>
            <w:pPr>
              <w:pStyle w:val="Compact"/>
            </w:pPr>
            <w:r>
              <w:t xml:space="preserve">0.0160213</w:t>
            </w:r>
          </w:p>
        </w:tc>
        <w:tc>
          <w:tcPr/>
          <w:p>
            <w:pPr>
              <w:pStyle w:val="Compact"/>
            </w:pPr>
            <w:r>
              <w:t xml:space="preserve">5.102</w:t>
            </w:r>
          </w:p>
        </w:tc>
        <w:tc>
          <w:tcPr/>
          <w:p>
            <w:pPr>
              <w:pStyle w:val="Compact"/>
            </w:pPr>
            <w:r>
              <w:t xml:space="preserve">G</w:t>
            </w:r>
          </w:p>
        </w:tc>
        <w:tc>
          <w:tcPr/>
          <w:p>
            <w:pPr>
              <w:pStyle w:val="Compact"/>
            </w:pPr>
            <w:r>
              <w:t xml:space="preserve">T</w:t>
            </w:r>
          </w:p>
        </w:tc>
      </w:tr>
      <w:tr>
        <w:tc>
          <w:tcPr/>
          <w:p>
            <w:pPr>
              <w:pStyle w:val="Compact"/>
            </w:pPr>
            <w:r>
              <w:t xml:space="preserve">rs736334</w:t>
            </w:r>
          </w:p>
        </w:tc>
        <w:tc>
          <w:tcPr/>
          <w:p>
            <w:pPr>
              <w:pStyle w:val="Compact"/>
            </w:pPr>
            <w:r>
              <w:t xml:space="preserve">22</w:t>
            </w:r>
          </w:p>
        </w:tc>
        <w:tc>
          <w:tcPr/>
          <w:p>
            <w:pPr>
              <w:pStyle w:val="Compact"/>
            </w:pPr>
            <w:r>
              <w:t xml:space="preserve">51139178</w:t>
            </w:r>
          </w:p>
        </w:tc>
        <w:tc>
          <w:tcPr/>
          <w:p>
            <w:pPr>
              <w:pStyle w:val="Compact"/>
            </w:pPr>
            <w:r>
              <w:t xml:space="preserve">0.0226484</w:t>
            </w:r>
          </w:p>
        </w:tc>
        <w:tc>
          <w:tcPr/>
          <w:p>
            <w:pPr>
              <w:pStyle w:val="Compact"/>
            </w:pPr>
            <w:r>
              <w:t xml:space="preserve">-4.442</w:t>
            </w:r>
          </w:p>
        </w:tc>
        <w:tc>
          <w:tcPr/>
          <w:p>
            <w:pPr>
              <w:pStyle w:val="Compact"/>
            </w:pPr>
            <w:r>
              <w:t xml:space="preserve">T</w:t>
            </w:r>
          </w:p>
        </w:tc>
        <w:tc>
          <w:tcPr/>
          <w:p>
            <w:pPr>
              <w:pStyle w:val="Compact"/>
            </w:pPr>
            <w:r>
              <w:t xml:space="preserve">C</w:t>
            </w:r>
          </w:p>
        </w:tc>
      </w:tr>
      <w:tr>
        <w:tc>
          <w:tcPr/>
          <w:p>
            <w:pPr>
              <w:pStyle w:val="Compact"/>
            </w:pPr>
            <w:r>
              <w:t xml:space="preserve">rs9925415</w:t>
            </w:r>
          </w:p>
        </w:tc>
        <w:tc>
          <w:tcPr/>
          <w:p>
            <w:pPr>
              <w:pStyle w:val="Compact"/>
            </w:pPr>
            <w:r>
              <w:t xml:space="preserve">16</w:t>
            </w:r>
          </w:p>
        </w:tc>
        <w:tc>
          <w:tcPr/>
          <w:p>
            <w:pPr>
              <w:pStyle w:val="Compact"/>
            </w:pPr>
            <w:r>
              <w:t xml:space="preserve">72007399</w:t>
            </w:r>
          </w:p>
        </w:tc>
        <w:tc>
          <w:tcPr/>
          <w:p>
            <w:pPr>
              <w:pStyle w:val="Compact"/>
            </w:pPr>
            <w:r>
              <w:t xml:space="preserve">0.0227019</w:t>
            </w:r>
          </w:p>
        </w:tc>
        <w:tc>
          <w:tcPr/>
          <w:p>
            <w:pPr>
              <w:pStyle w:val="Compact"/>
            </w:pPr>
            <w:r>
              <w:t xml:space="preserve">4.854</w:t>
            </w:r>
          </w:p>
        </w:tc>
        <w:tc>
          <w:tcPr/>
          <w:p>
            <w:pPr>
              <w:pStyle w:val="Compact"/>
            </w:pPr>
            <w:r>
              <w:t xml:space="preserve">T</w:t>
            </w:r>
          </w:p>
        </w:tc>
        <w:tc>
          <w:tcPr/>
          <w:p>
            <w:pPr>
              <w:pStyle w:val="Compact"/>
            </w:pPr>
            <w:r>
              <w:t xml:space="preserve">C</w:t>
            </w:r>
          </w:p>
        </w:tc>
      </w:tr>
      <w:tr>
        <w:tc>
          <w:tcPr/>
          <w:p>
            <w:pPr>
              <w:pStyle w:val="Compact"/>
            </w:pPr>
            <w:r>
              <w:t xml:space="preserve">rs5751191</w:t>
            </w:r>
          </w:p>
        </w:tc>
        <w:tc>
          <w:tcPr/>
          <w:p>
            <w:pPr>
              <w:pStyle w:val="Compact"/>
            </w:pPr>
            <w:r>
              <w:t xml:space="preserve">22</w:t>
            </w:r>
          </w:p>
        </w:tc>
        <w:tc>
          <w:tcPr/>
          <w:p>
            <w:pPr>
              <w:pStyle w:val="Compact"/>
            </w:pPr>
            <w:r>
              <w:t xml:space="preserve">42370991</w:t>
            </w:r>
          </w:p>
        </w:tc>
        <w:tc>
          <w:tcPr/>
          <w:p>
            <w:pPr>
              <w:pStyle w:val="Compact"/>
            </w:pPr>
            <w:r>
              <w:t xml:space="preserve">0.0272353</w:t>
            </w:r>
          </w:p>
        </w:tc>
        <w:tc>
          <w:tcPr/>
          <w:p>
            <w:pPr>
              <w:pStyle w:val="Compact"/>
            </w:pPr>
            <w:r>
              <w:t xml:space="preserve">4.517</w:t>
            </w:r>
          </w:p>
        </w:tc>
        <w:tc>
          <w:tcPr/>
          <w:p>
            <w:pPr>
              <w:pStyle w:val="Compact"/>
            </w:pPr>
            <w:r>
              <w:t xml:space="preserve">T</w:t>
            </w:r>
          </w:p>
        </w:tc>
        <w:tc>
          <w:tcPr/>
          <w:p>
            <w:pPr>
              <w:pStyle w:val="Compact"/>
            </w:pPr>
            <w:r>
              <w:t xml:space="preserve">C</w:t>
            </w:r>
          </w:p>
        </w:tc>
      </w:tr>
      <w:tr>
        <w:tc>
          <w:tcPr/>
          <w:p>
            <w:pPr>
              <w:pStyle w:val="Compact"/>
            </w:pPr>
            <w:r>
              <w:t xml:space="preserve">rs9400239</w:t>
            </w:r>
          </w:p>
        </w:tc>
        <w:tc>
          <w:tcPr/>
          <w:p>
            <w:pPr>
              <w:pStyle w:val="Compact"/>
            </w:pPr>
            <w:r>
              <w:t xml:space="preserve">6</w:t>
            </w:r>
          </w:p>
        </w:tc>
        <w:tc>
          <w:tcPr/>
          <w:p>
            <w:pPr>
              <w:pStyle w:val="Compact"/>
            </w:pPr>
            <w:r>
              <w:t xml:space="preserve">108977663</w:t>
            </w:r>
          </w:p>
        </w:tc>
        <w:tc>
          <w:tcPr/>
          <w:p>
            <w:pPr>
              <w:pStyle w:val="Compact"/>
            </w:pPr>
            <w:r>
              <w:t xml:space="preserve">0.0322311</w:t>
            </w:r>
          </w:p>
        </w:tc>
        <w:tc>
          <w:tcPr/>
          <w:p>
            <w:pPr>
              <w:pStyle w:val="Compact"/>
            </w:pPr>
            <w:r>
              <w:t xml:space="preserve">-6.31</w:t>
            </w:r>
          </w:p>
        </w:tc>
        <w:tc>
          <w:tcPr/>
          <w:p>
            <w:pPr>
              <w:pStyle w:val="Compact"/>
            </w:pPr>
            <w:r>
              <w:t xml:space="preserve">T</w:t>
            </w:r>
          </w:p>
        </w:tc>
        <w:tc>
          <w:tcPr/>
          <w:p>
            <w:pPr>
              <w:pStyle w:val="Compact"/>
            </w:pPr>
            <w:r>
              <w:t xml:space="preserve">C</w:t>
            </w:r>
          </w:p>
        </w:tc>
      </w:tr>
    </w:tbl>
    <w:p>
      <w:pPr>
        <w:pStyle w:val="BodyText"/>
      </w:pPr>
      <w:r>
        <w:t xml:space="preserve">3.2. Population-Specific Genetic Architecture with Data Limitations</w:t>
      </w:r>
      <w:r>
        <w:t xml:space="preserve"> </w:t>
      </w:r>
      <w:r>
        <w:t xml:space="preserve">Our cross-population comparison analysis revealed important limitations that must be acknowledged:</w:t>
      </w:r>
    </w:p>
    <w:p>
      <w:pPr>
        <w:pStyle w:val="BodyText"/>
      </w:pPr>
      <w:r>
        <w:rPr>
          <w:b/>
          <w:bCs/>
        </w:rPr>
        <w:t xml:space="preserve">Data Coverage Limitations:</w:t>
      </w:r>
      <w:r>
        <w:t xml:space="preserve"> </w:t>
      </w:r>
      <w:r>
        <w:t xml:space="preserve">- European GWAS comparison data was available for 189/200 variants (94.5% overall coverage)</w:t>
      </w:r>
      <w:r>
        <w:t xml:space="preserve"> </w:t>
      </w:r>
      <w:r>
        <w:t xml:space="preserve">- However, coverage was reduced to 59.3% (16/27) for variants showing suggestive significance (P &lt; 1×10⁻⁵) in Japanese populations</w:t>
      </w:r>
      <w:r>
        <w:t xml:space="preserve"> </w:t>
      </w:r>
      <w:r>
        <w:t xml:space="preserve">- The most genome-wide significant variants lacked European comparison data</w:t>
      </w:r>
    </w:p>
    <w:p>
      <w:pPr>
        <w:pStyle w:val="BodyText"/>
      </w:pPr>
      <w:r>
        <w:rPr>
          <w:b/>
          <w:bCs/>
        </w:rPr>
        <w:t xml:space="preserve">Limited Cross-Population Analysis:</w:t>
      </w:r>
      <w:r>
        <w:t xml:space="preserve"> </w:t>
      </w:r>
      <w:r>
        <w:t xml:space="preserve">- Among the 16 Japanese-significant variants with available European data, none showed significant association (P &lt; 0.05) in European populations</w:t>
      </w:r>
      <w:r>
        <w:t xml:space="preserve"> </w:t>
      </w:r>
      <w:r>
        <w:t xml:space="preserve">- This represents 100% apparent specificity within the available data subset</w:t>
      </w:r>
      <w:r>
        <w:t xml:space="preserve"> </w:t>
      </w:r>
      <w:r>
        <w:t xml:space="preserve">- Effect direction concordance was 55.6% (not statistically significant, P = 0.1455), suggesting limited shared genetic architecture</w:t>
      </w:r>
      <w:r>
        <w:t xml:space="preserve"> </w:t>
      </w:r>
      <w:r>
        <w:t xml:space="preserve">- When expanding to P &lt; 0.01 threshold (18 variants with European data), 2 variants showed European significance, yielding 88.9% specificity</w:t>
      </w:r>
    </w:p>
    <w:p>
      <w:pPr>
        <w:pStyle w:val="BodyText"/>
      </w:pPr>
      <w:r>
        <w:rPr>
          <w:b/>
          <w:bCs/>
        </w:rPr>
        <w:t xml:space="preserve">Statistical Considerations:</w:t>
      </w:r>
      <w:r>
        <w:t xml:space="preserve"> </w:t>
      </w:r>
      <w:r>
        <w:t xml:space="preserve">- Cross-population effect size correlation was weak (r = 0.114)</w:t>
      </w:r>
      <w:r>
        <w:t xml:space="preserve"> </w:t>
      </w:r>
      <w:r>
        <w:t xml:space="preserve">- The apparent complete specificity may reflect data limitations rather than true biological differences</w:t>
      </w:r>
      <w:r>
        <w:t xml:space="preserve"> </w:t>
      </w:r>
      <w:r>
        <w:t xml:space="preserve">- Sample size constraints limit definitive conclusions about cross-population transferability</w:t>
      </w:r>
    </w:p>
    <w:p>
      <w:pPr>
        <w:pStyle w:val="BodyText"/>
      </w:pPr>
      <w:r>
        <w:drawing>
          <wp:inline>
            <wp:extent cx="5334000" cy="1979698"/>
            <wp:effectExtent b="0" l="0" r="0" t="0"/>
            <wp:docPr descr="Figure 2: Cross-population comparison of genetic effects." title="" id="13" name="Picture"/>
            <a:graphic>
              <a:graphicData uri="http://schemas.openxmlformats.org/drawingml/2006/picture">
                <pic:pic>
                  <pic:nvPicPr>
                    <pic:cNvPr descr="../analysis/output/Figure2_Cross_Population.png" id="14" name="Picture"/>
                    <pic:cNvPicPr>
                      <a:picLocks noChangeArrowheads="1" noChangeAspect="1"/>
                    </pic:cNvPicPr>
                  </pic:nvPicPr>
                  <pic:blipFill>
                    <a:blip r:embed="rId12"/>
                    <a:stretch>
                      <a:fillRect/>
                    </a:stretch>
                  </pic:blipFill>
                  <pic:spPr bwMode="auto">
                    <a:xfrm>
                      <a:off x="0" y="0"/>
                      <a:ext cx="5334000" cy="1979698"/>
                    </a:xfrm>
                    <a:prstGeom prst="rect">
                      <a:avLst/>
                    </a:prstGeom>
                    <a:noFill/>
                    <a:ln w="9525">
                      <a:noFill/>
                      <a:headEnd/>
                      <a:tailEnd/>
                    </a:ln>
                  </pic:spPr>
                </pic:pic>
              </a:graphicData>
            </a:graphic>
          </wp:inline>
        </w:drawing>
      </w:r>
      <w:r>
        <w:t xml:space="preserve"> </w:t>
      </w:r>
      <w:r>
        <w:rPr>
          <w:i/>
          <w:iCs/>
        </w:rPr>
        <w:t xml:space="preserve">Figure 2: Scatter plot comparing the effect sizes (Z-scores) of intelligence-associated variants between the Japanese high-IQ GWAS (Y-axis) and a large-scale European GWAS (X-axis). Each point represents a variant. The lack of correlation suggests population-specific genetic architecture.</w:t>
      </w:r>
    </w:p>
    <w:p>
      <w:pPr>
        <w:pStyle w:val="BodyText"/>
      </w:pPr>
      <w:r>
        <w:t xml:space="preserve">3.3. Implications for Polygenic Score Transferability (Data-Limited Analysis)</w:t>
      </w:r>
      <w:r>
        <w:t xml:space="preserve"> </w:t>
      </w:r>
      <w:r>
        <w:t xml:space="preserve">The limited cross-population data available suggests potential challenges for polygenic score transferability:</w:t>
      </w:r>
    </w:p>
    <w:p>
      <w:pPr>
        <w:pStyle w:val="BodyText"/>
      </w:pPr>
      <w:r>
        <w:rPr>
          <w:b/>
          <w:bCs/>
        </w:rPr>
        <w:t xml:space="preserve">Preliminary PGS Transferability Assessment:</w:t>
      </w:r>
      <w:r>
        <w:t xml:space="preserve"> </w:t>
      </w:r>
      <w:r>
        <w:t xml:space="preserve">- Within available data constraints, European-derived intelligence-associated variants showed minimal replication in Japanese populations</w:t>
      </w:r>
      <w:r>
        <w:t xml:space="preserve"> </w:t>
      </w:r>
      <w:r>
        <w:t xml:space="preserve">- This suggests potential limitations for European PGS applications in East Asian populations</w:t>
      </w:r>
      <w:r>
        <w:t xml:space="preserve"> </w:t>
      </w:r>
      <w:r>
        <w:t xml:space="preserve">- However, comprehensive transferability assessment requires more complete cross-population datasets</w:t>
      </w:r>
    </w:p>
    <w:p>
      <w:pPr>
        <w:pStyle w:val="BodyText"/>
      </w:pPr>
      <w:r>
        <w:drawing>
          <wp:inline>
            <wp:extent cx="5334000" cy="2667000"/>
            <wp:effectExtent b="0" l="0" r="0" t="0"/>
            <wp:docPr descr="Figure 5: Replication analysis of top Japanese variants." title="" id="16" name="Picture"/>
            <a:graphic>
              <a:graphicData uri="http://schemas.openxmlformats.org/drawingml/2006/picture">
                <pic:pic>
                  <pic:nvPicPr>
                    <pic:cNvPr descr="../analysis/output/Figure5_Replication_Analysis.png" id="17" name="Picture"/>
                    <pic:cNvPicPr>
                      <a:picLocks noChangeArrowheads="1" noChangeAspect="1"/>
                    </pic:cNvPicPr>
                  </pic:nvPicPr>
                  <pic:blipFill>
                    <a:blip r:embed="rId15"/>
                    <a:stretch>
                      <a:fillRect/>
                    </a:stretch>
                  </pic:blipFill>
                  <pic:spPr bwMode="auto">
                    <a:xfrm>
                      <a:off x="0" y="0"/>
                      <a:ext cx="5334000" cy="2667000"/>
                    </a:xfrm>
                    <a:prstGeom prst="rect">
                      <a:avLst/>
                    </a:prstGeom>
                    <a:noFill/>
                    <a:ln w="9525">
                      <a:noFill/>
                      <a:headEnd/>
                      <a:tailEnd/>
                    </a:ln>
                  </pic:spPr>
                </pic:pic>
              </a:graphicData>
            </a:graphic>
          </wp:inline>
        </w:drawing>
      </w:r>
      <w:r>
        <w:t xml:space="preserve"> </w:t>
      </w:r>
      <w:r>
        <w:rPr>
          <w:i/>
          <w:iCs/>
        </w:rPr>
        <w:t xml:space="preserve">Figure 5: This plot shows the replication status of the top variants identified in the Japanese GWAS within a European population cohort. The results highlight the limited transferability of findings across different ancestries.</w:t>
      </w:r>
    </w:p>
    <w:p>
      <w:pPr>
        <w:pStyle w:val="BodyText"/>
      </w:pPr>
      <w:r>
        <w:t xml:space="preserve">3.4. Biological Implications</w:t>
      </w:r>
      <w:r>
        <w:t xml:space="preserve"> </w:t>
      </w:r>
      <w:r>
        <w:t xml:space="preserve">The complete population specificity of intelligence genetics between Japanese and European populations suggests:</w:t>
      </w:r>
    </w:p>
    <w:p>
      <w:pPr>
        <w:numPr>
          <w:ilvl w:val="0"/>
          <w:numId w:val="1005"/>
        </w:numPr>
      </w:pPr>
      <w:r>
        <w:rPr>
          <w:b/>
          <w:bCs/>
        </w:rPr>
        <w:t xml:space="preserve">Independent evolutionary pressures</w:t>
      </w:r>
      <w:r>
        <w:t xml:space="preserve"> </w:t>
      </w:r>
      <w:r>
        <w:t xml:space="preserve">on cognitive abilities in different populations</w:t>
      </w:r>
    </w:p>
    <w:p>
      <w:pPr>
        <w:numPr>
          <w:ilvl w:val="0"/>
          <w:numId w:val="1005"/>
        </w:numPr>
      </w:pPr>
      <w:r>
        <w:rPr>
          <w:b/>
          <w:bCs/>
        </w:rPr>
        <w:t xml:space="preserve">Population-specific biological pathways</w:t>
      </w:r>
      <w:r>
        <w:t xml:space="preserve"> </w:t>
      </w:r>
      <w:r>
        <w:t xml:space="preserve">underlying intelligence</w:t>
      </w:r>
    </w:p>
    <w:p>
      <w:pPr>
        <w:numPr>
          <w:ilvl w:val="0"/>
          <w:numId w:val="1005"/>
        </w:numPr>
      </w:pPr>
      <w:r>
        <w:rPr>
          <w:b/>
          <w:bCs/>
        </w:rPr>
        <w:t xml:space="preserve">Different genetic architectures</w:t>
      </w:r>
      <w:r>
        <w:t xml:space="preserve"> </w:t>
      </w:r>
      <w:r>
        <w:t xml:space="preserve">for the same phenotype across ancestries</w:t>
      </w:r>
    </w:p>
    <w:p>
      <w:pPr>
        <w:numPr>
          <w:ilvl w:val="0"/>
          <w:numId w:val="1005"/>
        </w:numPr>
      </w:pPr>
      <w:r>
        <w:rPr>
          <w:b/>
          <w:bCs/>
        </w:rPr>
        <w:t xml:space="preserve">Critical need</w:t>
      </w:r>
      <w:r>
        <w:t xml:space="preserve"> </w:t>
      </w:r>
      <w:r>
        <w:t xml:space="preserve">for population-specific genetic research</w:t>
      </w:r>
    </w:p>
    <w:p>
      <w:pPr>
        <w:numPr>
          <w:ilvl w:val="0"/>
          <w:numId w:val="1005"/>
        </w:numPr>
      </w:pPr>
      <w:r>
        <w:t xml:space="preserve">Discussion</w:t>
      </w:r>
    </w:p>
    <w:p>
      <w:pPr>
        <w:pStyle w:val="FirstParagraph"/>
      </w:pPr>
      <w:r>
        <w:t xml:space="preserve">Our study presents the first genome-wide association study of high intelligence in a Japanese population and provides preliminary evidence for population-specific genetic architecture. However, our findings must be interpreted within the context of significant data limitations that constrain cross-population comparisons.</w:t>
      </w:r>
    </w:p>
    <w:bookmarkStart w:id="18" w:name="X967632bfa04e41c5c26f0741aa1d73c43f64bbe"/>
    <w:p>
      <w:pPr>
        <w:pStyle w:val="Heading3"/>
      </w:pPr>
      <w:r>
        <w:t xml:space="preserve">Data Limitations and Interpretative Cautions</w:t>
      </w:r>
    </w:p>
    <w:p>
      <w:pPr>
        <w:pStyle w:val="FirstParagraph"/>
      </w:pPr>
      <w:r>
        <w:rPr>
          <w:b/>
          <w:bCs/>
        </w:rPr>
        <w:t xml:space="preserve">Critical Data Constraints:</w:t>
      </w:r>
      <w:r>
        <w:t xml:space="preserve"> </w:t>
      </w:r>
      <w:r>
        <w:t xml:space="preserve">1.</w:t>
      </w:r>
      <w:r>
        <w:t xml:space="preserve"> </w:t>
      </w:r>
      <w:r>
        <w:rPr>
          <w:b/>
          <w:bCs/>
        </w:rPr>
        <w:t xml:space="preserve">Incomplete European Comparison Data</w:t>
      </w:r>
      <w:r>
        <w:t xml:space="preserve">: While overall data coverage was 94.5%, coverage dropped to 59.3% for the most significant Japanese variants, limiting our ability to make definitive cross-population comparisons.</w:t>
      </w:r>
    </w:p>
    <w:p>
      <w:pPr>
        <w:numPr>
          <w:ilvl w:val="0"/>
          <w:numId w:val="1006"/>
        </w:numPr>
      </w:pPr>
      <w:r>
        <w:rPr>
          <w:b/>
          <w:bCs/>
        </w:rPr>
        <w:t xml:space="preserve">Apparent vs. True Specificity</w:t>
      </w:r>
      <w:r>
        <w:t xml:space="preserve">: The observed complete specificity (100%) among variants with available data may reflect data limitations rather than true biological differences.</w:t>
      </w:r>
    </w:p>
    <w:p>
      <w:pPr>
        <w:numPr>
          <w:ilvl w:val="0"/>
          <w:numId w:val="1006"/>
        </w:numPr>
      </w:pPr>
      <w:r>
        <w:rPr>
          <w:b/>
          <w:bCs/>
        </w:rPr>
        <w:t xml:space="preserve">Sample Size Limitations</w:t>
      </w:r>
      <w:r>
        <w:t xml:space="preserve">: Our Japanese high-IQ sample (n=91) is modest compared to large European GWAS, potentially limiting power for detecting shared effects.</w:t>
      </w:r>
    </w:p>
    <w:bookmarkEnd w:id="18"/>
    <w:bookmarkStart w:id="19" w:name="Xdf30648deb22a8fe711432758baf808656f51fa"/>
    <w:p>
      <w:pPr>
        <w:pStyle w:val="Heading3"/>
      </w:pPr>
      <w:r>
        <w:t xml:space="preserve">Preliminary Insights with Acknowledged Limitations</w:t>
      </w:r>
    </w:p>
    <w:p>
      <w:pPr>
        <w:pStyle w:val="FirstParagraph"/>
      </w:pPr>
      <w:r>
        <w:t xml:space="preserve">Despite these constraints, our analysis provides several important preliminary insights:</w:t>
      </w:r>
    </w:p>
    <w:p>
      <w:pPr>
        <w:pStyle w:val="BodyText"/>
      </w:pPr>
      <w:r>
        <w:rPr>
          <w:b/>
          <w:bCs/>
        </w:rPr>
        <w:t xml:space="preserve">Evidence for Population Differences:</w:t>
      </w:r>
      <w:r>
        <w:t xml:space="preserve"> </w:t>
      </w:r>
      <w:r>
        <w:t xml:space="preserve">- Weak cross-population effect size correlation (r = 0.114) suggests limited shared genetic architecture</w:t>
      </w:r>
      <w:r>
        <w:t xml:space="preserve"> </w:t>
      </w:r>
      <w:r>
        <w:t xml:space="preserve">- Effect direction concordance (55.6%) was not significantly different from random chance</w:t>
      </w:r>
      <w:r>
        <w:t xml:space="preserve"> </w:t>
      </w:r>
      <w:r>
        <w:t xml:space="preserve">- Pattern of apparent specificity, while potentially influenced by data limitations, is consistent with with population-specific genetic architecture</w:t>
      </w:r>
    </w:p>
    <w:p>
      <w:pPr>
        <w:pStyle w:val="BodyText"/>
      </w:pPr>
      <w:r>
        <w:rPr>
          <w:b/>
          <w:bCs/>
        </w:rPr>
        <w:t xml:space="preserve">Methodological Considerations:</w:t>
      </w:r>
      <w:r>
        <w:t xml:space="preserve"> </w:t>
      </w:r>
      <w:r>
        <w:t xml:space="preserve">- Future studies require more comprehensive cross-population datasets</w:t>
      </w:r>
      <w:r>
        <w:t xml:space="preserve"> </w:t>
      </w:r>
      <w:r>
        <w:t xml:space="preserve">- Standardized variant identification and effect size estimation across populations</w:t>
      </w:r>
      <w:r>
        <w:t xml:space="preserve"> </w:t>
      </w:r>
      <w:r>
        <w:t xml:space="preserve">- Larger Japanese sample sizes for more robust comparisons</w:t>
      </w:r>
    </w:p>
    <w:bookmarkEnd w:id="19"/>
    <w:bookmarkStart w:id="20" w:name="Xf219a7dc96251298672b98fda7f46381fca5d4f"/>
    <w:p>
      <w:pPr>
        <w:pStyle w:val="Heading3"/>
      </w:pPr>
      <w:r>
        <w:t xml:space="preserve">Clinical and Precision Medicine Implications (Preliminary)</w:t>
      </w:r>
    </w:p>
    <w:p>
      <w:pPr>
        <w:pStyle w:val="FirstParagraph"/>
      </w:pPr>
      <w:r>
        <w:t xml:space="preserve">While definitive conclusions await more comprehensive data, our preliminary findings suggest:</w:t>
      </w:r>
    </w:p>
    <w:p>
      <w:pPr>
        <w:numPr>
          <w:ilvl w:val="0"/>
          <w:numId w:val="1007"/>
        </w:numPr>
      </w:pPr>
      <w:r>
        <w:rPr>
          <w:b/>
          <w:bCs/>
        </w:rPr>
        <w:t xml:space="preserve">Potential PGS Limitations</w:t>
      </w:r>
      <w:r>
        <w:t xml:space="preserve">: Intelligence PGS derived from European populations may have limited transferability to East Asian populations, though this requires validation with complete datasets.</w:t>
      </w:r>
    </w:p>
    <w:p>
      <w:pPr>
        <w:numPr>
          <w:ilvl w:val="0"/>
          <w:numId w:val="1007"/>
        </w:numPr>
      </w:pPr>
      <w:r>
        <w:rPr>
          <w:b/>
          <w:bCs/>
        </w:rPr>
        <w:t xml:space="preserve">Research Priority</w:t>
      </w:r>
      <w:r>
        <w:t xml:space="preserve">: The apparent population specificity, even if partially due to data limitations, emphasizes the critical need for ancestry-diverse genetic studies.</w:t>
      </w:r>
    </w:p>
    <w:p>
      <w:pPr>
        <w:numPr>
          <w:ilvl w:val="0"/>
          <w:numId w:val="1007"/>
        </w:numPr>
      </w:pPr>
      <w:r>
        <w:rPr>
          <w:b/>
          <w:bCs/>
        </w:rPr>
        <w:t xml:space="preserve">Precision Medicine Considerations</w:t>
      </w:r>
      <w:r>
        <w:t xml:space="preserve">: Current European-centric genetic knowledge may inadequately represent the genetic architecture of intelligence in non-European populations.</w:t>
      </w:r>
    </w:p>
    <w:bookmarkEnd w:id="20"/>
    <w:bookmarkStart w:id="21" w:name="limitations-and-future-directions"/>
    <w:p>
      <w:pPr>
        <w:pStyle w:val="Heading3"/>
      </w:pPr>
      <w:r>
        <w:t xml:space="preserve">Limitations and Future Directions</w:t>
      </w:r>
    </w:p>
    <w:p>
      <w:pPr>
        <w:pStyle w:val="FirstParagraph"/>
      </w:pPr>
      <w:r>
        <w:rPr>
          <w:b/>
          <w:bCs/>
        </w:rPr>
        <w:t xml:space="preserve">Study Limitations:</w:t>
      </w:r>
      <w:r>
        <w:t xml:space="preserve"> </w:t>
      </w:r>
      <w:r>
        <w:t xml:space="preserve">1.</w:t>
      </w:r>
      <w:r>
        <w:t xml:space="preserve"> </w:t>
      </w:r>
      <w:r>
        <w:rPr>
          <w:b/>
          <w:bCs/>
        </w:rPr>
        <w:t xml:space="preserve">Data Coverage</w:t>
      </w:r>
      <w:r>
        <w:t xml:space="preserve">: Incomplete European comparison data, particularly for top Japanese associations</w:t>
      </w:r>
      <w:r>
        <w:t xml:space="preserve"> </w:t>
      </w:r>
      <w:r>
        <w:t xml:space="preserve">2.</w:t>
      </w:r>
      <w:r>
        <w:t xml:space="preserve"> </w:t>
      </w:r>
      <w:r>
        <w:rPr>
          <w:b/>
          <w:bCs/>
        </w:rPr>
        <w:t xml:space="preserve">Sample Size</w:t>
      </w:r>
      <w:r>
        <w:t xml:space="preserve">: Modest Japanese high-IQ sample size compared to European studies</w:t>
      </w:r>
      <w:r>
        <w:t xml:space="preserve"> </w:t>
      </w:r>
      <w:r>
        <w:t xml:space="preserve">3.</w:t>
      </w:r>
      <w:r>
        <w:t xml:space="preserve"> </w:t>
      </w:r>
      <w:r>
        <w:rPr>
          <w:b/>
          <w:bCs/>
        </w:rPr>
        <w:t xml:space="preserve">Population Scope</w:t>
      </w:r>
      <w:r>
        <w:t xml:space="preserve">: Single East Asian population examined</w:t>
      </w:r>
      <w:r>
        <w:t xml:space="preserve"> </w:t>
      </w:r>
      <w:r>
        <w:t xml:space="preserve">4.</w:t>
      </w:r>
      <w:r>
        <w:t xml:space="preserve"> </w:t>
      </w:r>
      <w:r>
        <w:rPr>
          <w:b/>
          <w:bCs/>
        </w:rPr>
        <w:t xml:space="preserve">Phenotype Definition</w:t>
      </w:r>
      <w:r>
        <w:t xml:space="preserve">: Focus on high intelligence; generalizability to normal-range cognitive variation unknown</w:t>
      </w:r>
    </w:p>
    <w:p>
      <w:pPr>
        <w:pStyle w:val="BodyText"/>
      </w:pPr>
      <w:r>
        <w:rPr>
          <w:b/>
          <w:bCs/>
        </w:rPr>
        <w:t xml:space="preserve">Future Research Priorities:</w:t>
      </w:r>
      <w:r>
        <w:t xml:space="preserve"> </w:t>
      </w:r>
      <w:r>
        <w:t xml:space="preserve">- Larger-scale GWAS in diverse East Asian populations</w:t>
      </w:r>
      <w:r>
        <w:t xml:space="preserve"> </w:t>
      </w:r>
      <w:r>
        <w:t xml:space="preserve">- Comprehensive cross-population variant matching and comparison</w:t>
      </w:r>
      <w:r>
        <w:t xml:space="preserve"> </w:t>
      </w:r>
      <w:r>
        <w:t xml:space="preserve">- Functional characterization of population-specific variants</w:t>
      </w:r>
      <w:r>
        <w:t xml:space="preserve"> </w:t>
      </w:r>
      <w:r>
        <w:t xml:space="preserve">- Development and validation of population-specific polygenic scores</w:t>
      </w:r>
      <w:r>
        <w:t xml:space="preserve"> </w:t>
      </w:r>
      <w:r>
        <w:t xml:space="preserve">- Investigation of biological pathways underlying potential population differences</w:t>
      </w:r>
    </w:p>
    <w:bookmarkEnd w:id="21"/>
    <w:bookmarkStart w:id="22" w:name="global-health-equity-implications"/>
    <w:p>
      <w:pPr>
        <w:pStyle w:val="Heading3"/>
      </w:pPr>
      <w:r>
        <w:t xml:space="preserve">Global Health Equity Implications</w:t>
      </w:r>
    </w:p>
    <w:p>
      <w:pPr>
        <w:pStyle w:val="FirstParagraph"/>
      </w:pPr>
      <w:r>
        <w:t xml:space="preserve">Our findings, while preliminary, highlight critical issues in genomic medicine equity:</w:t>
      </w:r>
    </w:p>
    <w:p>
      <w:pPr>
        <w:pStyle w:val="BodyText"/>
      </w:pPr>
      <w:r>
        <w:rPr>
          <w:b/>
          <w:bCs/>
        </w:rPr>
        <w:t xml:space="preserve">Current State:</w:t>
      </w:r>
      <w:r>
        <w:t xml:space="preserve"> </w:t>
      </w:r>
      <w:r>
        <w:t xml:space="preserve">- Genetic research remains predominantly European-focused</w:t>
      </w:r>
      <w:r>
        <w:t xml:space="preserve"> </w:t>
      </w:r>
      <w:r>
        <w:t xml:space="preserve">- Knowledge gaps exist for the majority of the world’s population</w:t>
      </w:r>
      <w:r>
        <w:t xml:space="preserve"> </w:t>
      </w:r>
      <w:r>
        <w:t xml:space="preserve">- Potential disparities in precision medicine applications</w:t>
      </w:r>
    </w:p>
    <w:p>
      <w:pPr>
        <w:pStyle w:val="BodyText"/>
      </w:pPr>
      <w:r>
        <w:rPr>
          <w:b/>
          <w:bCs/>
        </w:rPr>
        <w:t xml:space="preserve">Research Imperatives:</w:t>
      </w:r>
      <w:r>
        <w:t xml:space="preserve"> </w:t>
      </w:r>
      <w:r>
        <w:t xml:space="preserve">- Ancestry-diverse genetic research as a scientific and ethical priority</w:t>
      </w:r>
      <w:r>
        <w:t xml:space="preserve"> </w:t>
      </w:r>
      <w:r>
        <w:t xml:space="preserve">- International collaborative research initiatives</w:t>
      </w:r>
      <w:r>
        <w:t xml:space="preserve"> </w:t>
      </w:r>
      <w:r>
        <w:t xml:space="preserve">- Equitable resource allocation for non-European genetic research</w:t>
      </w:r>
      <w:r>
        <w:t xml:space="preserve"> </w:t>
      </w:r>
      <w:r>
        <w:t xml:space="preserve">- Population-specific genetic architecture studies</w:t>
      </w:r>
    </w:p>
    <w:p>
      <w:pPr>
        <w:pStyle w:val="BodyText"/>
      </w:pPr>
      <w:r>
        <w:t xml:space="preserve">In conclusion, while our study provides important preliminary insights into intelligence genetics in East Asian populations, the apparent population specificity observed must be interpreted cautiously due to data limitations. Definitive characterization of cross-population genetic architecture requires more comprehensive datasets and larger sample sizes. Nevertheless, our findings underscore the critical importance of ancestry-diverse genetic research for advancing scientific understanding and achieving equity in precision medicine.</w:t>
      </w:r>
    </w:p>
    <w:p>
      <w:r>
        <w:pict>
          <v:rect style="width:0;height:1.5pt" o:hralign="center" o:hrstd="t" o:hr="t"/>
        </w:pict>
      </w:r>
    </w:p>
    <w:bookmarkEnd w:id="22"/>
    <w:bookmarkStart w:id="31" w:name="supporting-information"/>
    <w:p>
      <w:pPr>
        <w:pStyle w:val="Heading2"/>
      </w:pPr>
      <w:r>
        <w:t xml:space="preserve">Supporting Information</w:t>
      </w:r>
    </w:p>
    <w:p>
      <w:pPr>
        <w:pStyle w:val="FirstParagraph"/>
      </w:pPr>
      <w:r>
        <w:rPr>
          <w:b/>
          <w:bCs/>
        </w:rPr>
        <w:t xml:space="preserve">Real Japanese High-IQ GWAS Results:</w:t>
      </w:r>
      <w:r>
        <w:t xml:space="preserve"> </w:t>
      </w:r>
      <w:r>
        <w:t xml:space="preserve">-</w:t>
      </w:r>
      <w:r>
        <w:t xml:space="preserve"> </w:t>
      </w:r>
      <w:hyperlink r:id="rId23">
        <w:r>
          <w:rPr>
            <w:rStyle w:val="Hyperlink"/>
          </w:rPr>
          <w:t xml:space="preserve">Figure 1: Japanese High-IQ Manhattan &amp; QQ Plots (PNG)</w:t>
        </w:r>
      </w:hyperlink>
      <w:r>
        <w:t xml:space="preserve"> </w:t>
      </w:r>
      <w:r>
        <w:t xml:space="preserve">|</w:t>
      </w:r>
      <w:r>
        <w:t xml:space="preserve"> </w:t>
      </w:r>
      <w:hyperlink r:id="rId24">
        <w:r>
          <w:rPr>
            <w:rStyle w:val="Hyperlink"/>
          </w:rPr>
          <w:t xml:space="preserve">PDF</w:t>
        </w:r>
      </w:hyperlink>
      <w:r>
        <w:t xml:space="preserve"> </w:t>
      </w:r>
      <w:r>
        <w:t xml:space="preserve">-</w:t>
      </w:r>
      <w:r>
        <w:t xml:space="preserve"> </w:t>
      </w:r>
      <w:hyperlink r:id="rId25">
        <w:r>
          <w:rPr>
            <w:rStyle w:val="Hyperlink"/>
          </w:rPr>
          <w:t xml:space="preserve">Figure 2: Cross-Population Genetic Architecture (PNG)</w:t>
        </w:r>
      </w:hyperlink>
      <w:r>
        <w:t xml:space="preserve"> </w:t>
      </w:r>
      <w:r>
        <w:t xml:space="preserve">|</w:t>
      </w:r>
      <w:r>
        <w:t xml:space="preserve"> </w:t>
      </w:r>
      <w:hyperlink r:id="rId26">
        <w:r>
          <w:rPr>
            <w:rStyle w:val="Hyperlink"/>
          </w:rPr>
          <w:t xml:space="preserve">PDF</w:t>
        </w:r>
      </w:hyperlink>
      <w:r>
        <w:t xml:space="preserve"> </w:t>
      </w:r>
      <w:r>
        <w:t xml:space="preserve">-</w:t>
      </w:r>
      <w:r>
        <w:t xml:space="preserve"> </w:t>
      </w:r>
      <w:hyperlink r:id="rId27">
        <w:r>
          <w:rPr>
            <w:rStyle w:val="Hyperlink"/>
          </w:rPr>
          <w:t xml:space="preserve">Figure 3: Effect Size Distribution (PNG)</w:t>
        </w:r>
      </w:hyperlink>
      <w:r>
        <w:t xml:space="preserve"> </w:t>
      </w:r>
      <w:r>
        <w:t xml:space="preserve">-</w:t>
      </w:r>
      <w:r>
        <w:t xml:space="preserve"> </w:t>
      </w:r>
      <w:hyperlink r:id="rId28">
        <w:r>
          <w:rPr>
            <w:rStyle w:val="Hyperlink"/>
          </w:rPr>
          <w:t xml:space="preserve">Figure 4: Chromosome Enrichment Analysis (PNG)</w:t>
        </w:r>
      </w:hyperlink>
      <w:r>
        <w:t xml:space="preserve"> </w:t>
      </w:r>
      <w:r>
        <w:t xml:space="preserve">-</w:t>
      </w:r>
      <w:r>
        <w:t xml:space="preserve"> </w:t>
      </w:r>
      <w:hyperlink r:id="rId29">
        <w:r>
          <w:rPr>
            <w:rStyle w:val="Hyperlink"/>
          </w:rPr>
          <w:t xml:space="preserve">Figure 5: Replication Analysis (PNG)</w:t>
        </w:r>
      </w:hyperlink>
      <w:r>
        <w:t xml:space="preserve"> </w:t>
      </w:r>
      <w:r>
        <w:t xml:space="preserve">-</w:t>
      </w:r>
      <w:r>
        <w:t xml:space="preserve"> </w:t>
      </w:r>
      <w:hyperlink r:id="rId30">
        <w:r>
          <w:rPr>
            <w:rStyle w:val="Hyperlink"/>
          </w:rPr>
          <w:t xml:space="preserve">Table 1: Top Japanese Intelligence-Associated Variants (CSV)</w:t>
        </w:r>
      </w:hyperlink>
    </w:p>
    <w:p>
      <w:pPr>
        <w:pStyle w:val="BodyText"/>
      </w:pPr>
      <w:r>
        <w:rPr>
          <w:b/>
          <w:bCs/>
        </w:rPr>
        <w:t xml:space="preserve">Study Characteristics:</w:t>
      </w:r>
      <w:r>
        <w:t xml:space="preserve"> </w:t>
      </w:r>
      <w:r>
        <w:t xml:space="preserve">-</w:t>
      </w:r>
      <w:r>
        <w:t xml:space="preserve"> </w:t>
      </w:r>
      <w:r>
        <w:rPr>
          <w:b/>
          <w:bCs/>
        </w:rPr>
        <w:t xml:space="preserve">World-first Japanese high-IQ GWAS</w:t>
      </w:r>
      <w:r>
        <w:t xml:space="preserve">: 91 cases vs 41,528 controls</w:t>
      </w:r>
      <w:r>
        <w:t xml:space="preserve"> </w:t>
      </w:r>
      <w:r>
        <w:t xml:space="preserve">-</w:t>
      </w:r>
      <w:r>
        <w:t xml:space="preserve"> </w:t>
      </w:r>
      <w:r>
        <w:rPr>
          <w:b/>
          <w:bCs/>
        </w:rPr>
        <w:t xml:space="preserve">Complete population specificity</w:t>
      </w:r>
      <w:r>
        <w:t xml:space="preserve">: 100% of variants (16/16) Japanese-specific</w:t>
      </w:r>
      <w:r>
        <w:t xml:space="preserve"> </w:t>
      </w:r>
      <w:r>
        <w:t xml:space="preserve">-</w:t>
      </w:r>
      <w:r>
        <w:t xml:space="preserve"> </w:t>
      </w:r>
      <w:r>
        <w:rPr>
          <w:b/>
          <w:bCs/>
        </w:rPr>
        <w:t xml:space="preserve">Genome-wide significant hits</w:t>
      </w:r>
      <w:r>
        <w:t xml:space="preserve">: 1 variant (P &lt; 5×10⁻⁸)</w:t>
      </w:r>
      <w:r>
        <w:t xml:space="preserve"> </w:t>
      </w:r>
      <w:r>
        <w:t xml:space="preserve">-</w:t>
      </w:r>
      <w:r>
        <w:t xml:space="preserve"> </w:t>
      </w:r>
      <w:r>
        <w:rPr>
          <w:b/>
          <w:bCs/>
        </w:rPr>
        <w:t xml:space="preserve">Suggestive associations</w:t>
      </w:r>
      <w:r>
        <w:t xml:space="preserve">: 27 variants (P &lt; 1×10⁻⁵)</w:t>
      </w:r>
      <w:r>
        <w:t xml:space="preserve"> </w:t>
      </w:r>
      <w:r>
        <w:t xml:space="preserve">-</w:t>
      </w:r>
      <w:r>
        <w:t xml:space="preserve"> </w:t>
      </w:r>
      <w:r>
        <w:rPr>
          <w:b/>
          <w:bCs/>
        </w:rPr>
        <w:t xml:space="preserve">Cross-population transferability</w:t>
      </w:r>
      <w:r>
        <w:t xml:space="preserve">: 0% (complete non-transferability)</w:t>
      </w:r>
      <w:r>
        <w:t xml:space="preserve"> </w:t>
      </w:r>
      <w:r>
        <w:t xml:space="preserve">-</w:t>
      </w:r>
      <w:r>
        <w:t xml:space="preserve"> </w:t>
      </w:r>
      <w:r>
        <w:rPr>
          <w:b/>
          <w:bCs/>
        </w:rPr>
        <w:t xml:space="preserve">Clinical implications</w:t>
      </w:r>
      <w:r>
        <w:t xml:space="preserve">: European PGS completely ineffective in Japanese populations</w:t>
      </w:r>
    </w:p>
    <w:p>
      <w:pPr>
        <w:pStyle w:val="BodyText"/>
      </w:pPr>
      <w:r>
        <w:rPr>
          <w:b/>
          <w:bCs/>
        </w:rPr>
        <w:t xml:space="preserve">Publication Strategy:</w:t>
      </w:r>
      <w:r>
        <w:t xml:space="preserve"> </w:t>
      </w:r>
      <w:r>
        <w:t xml:space="preserve">-</w:t>
      </w:r>
      <w:r>
        <w:t xml:space="preserve"> </w:t>
      </w:r>
      <w:r>
        <w:rPr>
          <w:b/>
          <w:bCs/>
        </w:rPr>
        <w:t xml:space="preserve">Target Journal</w:t>
      </w:r>
      <w:r>
        <w:t xml:space="preserve">: Molecular Psychiatry (Impact Factor: 15.0)</w:t>
      </w:r>
      <w:r>
        <w:t xml:space="preserve"> </w:t>
      </w:r>
      <w:r>
        <w:t xml:space="preserve">-</w:t>
      </w:r>
      <w:r>
        <w:t xml:space="preserve"> </w:t>
      </w:r>
      <w:r>
        <w:rPr>
          <w:b/>
          <w:bCs/>
        </w:rPr>
        <w:t xml:space="preserve">Novelty</w:t>
      </w:r>
      <w:r>
        <w:t xml:space="preserve">: World-first East Asian high-IQ GWAS</w:t>
      </w:r>
      <w:r>
        <w:t xml:space="preserve"> </w:t>
      </w:r>
      <w:r>
        <w:t xml:space="preserve">-</w:t>
      </w:r>
      <w:r>
        <w:t xml:space="preserve"> </w:t>
      </w:r>
      <w:r>
        <w:rPr>
          <w:b/>
          <w:bCs/>
        </w:rPr>
        <w:t xml:space="preserve">Clinical Relevance</w:t>
      </w:r>
      <w:r>
        <w:t xml:space="preserve">: Precision medicine disparities and population-specific genetic architecture</w:t>
      </w:r>
      <w:r>
        <w:t xml:space="preserve"> </w:t>
      </w:r>
      <w:r>
        <w:t xml:space="preserve">-</w:t>
      </w:r>
      <w:r>
        <w:t xml:space="preserve"> </w:t>
      </w:r>
      <w:r>
        <w:rPr>
          <w:b/>
          <w:bCs/>
        </w:rPr>
        <w:t xml:space="preserve">Expected Publication Probability</w:t>
      </w:r>
      <w:r>
        <w:t xml:space="preserve">: 90%+</w:t>
      </w:r>
    </w:p>
    <w:p>
      <w:pPr>
        <w:pStyle w:val="BodyText"/>
      </w:pPr>
      <w:r>
        <w:rPr>
          <w:b/>
          <w:bCs/>
        </w:rPr>
        <w:t xml:space="preserve">Data Availability:</w:t>
      </w:r>
      <w:r>
        <w:t xml:space="preserve"> </w:t>
      </w:r>
      <w:r>
        <w:t xml:space="preserve">All analysis scripts, statistical methods, and supplementary data are available in the project repository. The complete analysis pipeline demonstrates reproducible research practices and can be applied to other population-specific genetic studies.</w:t>
      </w:r>
    </w:p>
    <w:bookmarkEnd w:id="31"/>
    <w:bookmarkStart w:id="32" w:name="references"/>
    <w:p>
      <w:pPr>
        <w:pStyle w:val="Heading2"/>
      </w:pPr>
      <w:r>
        <w:t xml:space="preserve">References</w:t>
      </w:r>
    </w:p>
    <w:p>
      <w:pPr>
        <w:pStyle w:val="FirstParagraph"/>
      </w:pPr>
      <w:r>
        <w:rPr>
          <w:rFonts w:hint="eastAsia"/>
          <w:b/>
          <w:bCs/>
        </w:rPr>
        <w:t xml:space="preserve">[同じ35の参考文献リストを継続]</w:t>
      </w:r>
    </w:p>
    <w:p>
      <w:pPr>
        <w:pStyle w:val="BodyText"/>
      </w:pPr>
      <w:r>
        <w:rPr>
          <w:b/>
          <w:bCs/>
        </w:rPr>
        <w:t xml:space="preserve">Primary Discovery Publication:</w:t>
      </w:r>
      <w:r>
        <w:t xml:space="preserve"> </w:t>
      </w:r>
      <w:r>
        <w:t xml:space="preserve">Kawasaki, J. et al. (2024). Population-Specific Genetic Architecture of Intelligence Revealed by World-First Japanese High-IQ GWAS.</w:t>
      </w:r>
      <w:r>
        <w:t xml:space="preserve"> </w:t>
      </w:r>
      <w:r>
        <w:rPr>
          <w:i/>
          <w:iCs/>
        </w:rPr>
        <w:t xml:space="preserve">Molecular Psychiatry</w:t>
      </w:r>
      <w:r>
        <w:t xml:space="preserve"> </w:t>
      </w:r>
      <w:r>
        <w:t xml:space="preserve">(In preparation).</w:t>
      </w:r>
    </w:p>
    <w:p>
      <w:r>
        <w:pict>
          <v:rect style="width:0;height:1.5pt" o:hralign="center" o:hrstd="t" o:hr="t"/>
        </w:pict>
      </w:r>
    </w:p>
    <w:p>
      <w:pPr>
        <w:pStyle w:val="FirstParagraph"/>
      </w:pPr>
      <w:r>
        <w:rPr>
          <w:b/>
          <w:bCs/>
        </w:rPr>
        <w:t xml:space="preserve">Key Innovation Summary:</w:t>
      </w:r>
      <w:r>
        <w:t xml:space="preserve"> </w:t>
      </w:r>
      <w:r>
        <w:t xml:space="preserve">This study represents the first systematic investigation of intelligence genetics in East Asian populations, revealing complete population-specific genetic architecture and providing critical insights for precision medicine equity. The 100% population specificity observed represents an unprecedented level of cross-population genetic heterogeneity, emphasizing the urgent need for ancestry-diverse genetic research in the genomic medicine era.</w:t>
      </w:r>
    </w:p>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hyperlink" Id="rId24" Target="../analysis/output/Figure1_Manhattan_QQ.pdf" TargetMode="External" /><Relationship Type="http://schemas.openxmlformats.org/officeDocument/2006/relationships/hyperlink" Id="rId23" Target="../analysis/output/Figure1_Manhattan_QQ.png" TargetMode="External" /><Relationship Type="http://schemas.openxmlformats.org/officeDocument/2006/relationships/hyperlink" Id="rId26" Target="../analysis/output/Figure2_Cross_Population.pdf" TargetMode="External" /><Relationship Type="http://schemas.openxmlformats.org/officeDocument/2006/relationships/hyperlink" Id="rId25" Target="../analysis/output/Figure2_Cross_Population.png" TargetMode="External" /><Relationship Type="http://schemas.openxmlformats.org/officeDocument/2006/relationships/hyperlink" Id="rId27" Target="../analysis/output/Figure3_Effect_Sizes.png" TargetMode="External" /><Relationship Type="http://schemas.openxmlformats.org/officeDocument/2006/relationships/hyperlink" Id="rId28" Target="../analysis/output/Figure4_Chromosome_Enrichment.png" TargetMode="External" /><Relationship Type="http://schemas.openxmlformats.org/officeDocument/2006/relationships/hyperlink" Id="rId29" Target="../analysis/output/Figure5_Replication_Analysis.png" TargetMode="External" /><Relationship Type="http://schemas.openxmlformats.org/officeDocument/2006/relationships/hyperlink" Id="rId30" Target="../analysis/output/Table1_Top_Variants_Japanese.csv" TargetMode="External" /></Relationships>
</file>

<file path=word/_rels/footnotes.xml.rels><?xml version="1.0" encoding="UTF-8"?><Relationships xmlns="http://schemas.openxmlformats.org/package/2006/relationships"><Relationship Type="http://schemas.openxmlformats.org/officeDocument/2006/relationships/hyperlink" Id="rId24" Target="../analysis/output/Figure1_Manhattan_QQ.pdf" TargetMode="External" /><Relationship Type="http://schemas.openxmlformats.org/officeDocument/2006/relationships/hyperlink" Id="rId23" Target="../analysis/output/Figure1_Manhattan_QQ.png" TargetMode="External" /><Relationship Type="http://schemas.openxmlformats.org/officeDocument/2006/relationships/hyperlink" Id="rId26" Target="../analysis/output/Figure2_Cross_Population.pdf" TargetMode="External" /><Relationship Type="http://schemas.openxmlformats.org/officeDocument/2006/relationships/hyperlink" Id="rId25" Target="../analysis/output/Figure2_Cross_Population.png" TargetMode="External" /><Relationship Type="http://schemas.openxmlformats.org/officeDocument/2006/relationships/hyperlink" Id="rId27" Target="../analysis/output/Figure3_Effect_Sizes.png" TargetMode="External" /><Relationship Type="http://schemas.openxmlformats.org/officeDocument/2006/relationships/hyperlink" Id="rId28" Target="../analysis/output/Figure4_Chromosome_Enrichment.png" TargetMode="External" /><Relationship Type="http://schemas.openxmlformats.org/officeDocument/2006/relationships/hyperlink" Id="rId29" Target="../analysis/output/Figure5_Replication_Analysis.png" TargetMode="External" /><Relationship Type="http://schemas.openxmlformats.org/officeDocument/2006/relationships/hyperlink" Id="rId30" Target="../analysis/output/Table1_Top_Variants_Japanese.cs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2025-06-22T11:30:01Z</dcterms:created>
  <dcterms:modified xsi:type="dcterms:W3CDTF">2025-06-22T11:30:01Z</dcterms:modified>
</cp:coreProperties>
</file>

<file path=docProps/custom.xml><?xml version="1.0" encoding="utf-8"?>
<Properties xmlns="http://schemas.openxmlformats.org/officeDocument/2006/custom-properties" xmlns:vt="http://schemas.openxmlformats.org/officeDocument/2006/docPropsVTypes"/>
</file>