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spacing w:line="360" w:lineRule="auto"/>
      </w:pPr>
      <w:r>
        <w:rPr>
          <w:rFonts w:ascii="Times New Roman" w:hAnsi="Times New Roman" w:eastAsia="Times New Roman"/>
          <w:b w:val="0"/>
          <w:i w:val="0"/>
          <w:sz w:val="28"/>
        </w:rPr>
        <w:t>Хмельницька гуманітарно-педагогічна академія</w:t>
      </w:r>
    </w:p>
    <w:p>
      <w:pPr>
        <w:ind w:firstLine="0"/>
        <w:jc w:val="center"/>
        <w:spacing w:line="360" w:lineRule="auto"/>
      </w:pPr>
      <w:r>
        <w:rPr>
          <w:rFonts w:ascii="Times New Roman" w:hAnsi="Times New Roman" w:eastAsia="Times New Roman"/>
          <w:b w:val="0"/>
          <w:i w:val="0"/>
          <w:sz w:val="28"/>
        </w:rPr>
        <w:t>Кафедра педагогіки та психології</w:t>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i w:val="0"/>
          <w:sz w:val="32"/>
        </w:rPr>
        <w:t>КУРСОВА РОБОТА</w:t>
      </w:r>
    </w:p>
    <w:p>
      <w:pPr>
        <w:ind w:firstLine="0"/>
        <w:jc w:val="center"/>
        <w:spacing w:line="360" w:lineRule="auto"/>
      </w:pPr>
      <w:r>
        <w:rPr>
          <w:rFonts w:ascii="Times New Roman" w:hAnsi="Times New Roman" w:eastAsia="Times New Roman"/>
          <w:b w:val="0"/>
          <w:i w:val="0"/>
          <w:sz w:val="28"/>
        </w:rPr>
        <w:t>зі спеціальності «Логопедія»</w:t>
      </w:r>
    </w:p>
    <w:p>
      <w:pPr>
        <w:ind w:firstLine="0"/>
        <w:jc w:val="center"/>
        <w:spacing w:line="360" w:lineRule="auto"/>
      </w:pPr>
      <w:r>
        <w:rPr>
          <w:rFonts w:ascii="Times New Roman" w:hAnsi="Times New Roman" w:eastAsia="Times New Roman"/>
          <w:b w:val="0"/>
          <w:i w:val="0"/>
          <w:sz w:val="28"/>
        </w:rPr>
        <w:t>на тему:</w:t>
      </w:r>
    </w:p>
    <w:p>
      <w:pPr>
        <w:ind w:firstLine="0"/>
        <w:jc w:val="center"/>
        <w:spacing w:line="360" w:lineRule="auto"/>
      </w:pPr>
      <w:r>
        <w:rPr>
          <w:rFonts w:ascii="Times New Roman" w:hAnsi="Times New Roman" w:eastAsia="Times New Roman"/>
          <w:b/>
          <w:i w:val="0"/>
          <w:sz w:val="28"/>
        </w:rPr>
        <w:t>«Превенція труднощів мовлення в дітей старшого дошкільного віку</w:t>
        <w:br/>
        <w:t>в період екстремально невизначених умов»</w:t>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right"/>
        <w:spacing w:line="360" w:lineRule="auto"/>
      </w:pPr>
      <w:r>
        <w:rPr>
          <w:rFonts w:ascii="Times New Roman" w:hAnsi="Times New Roman" w:eastAsia="Times New Roman"/>
          <w:b w:val="0"/>
          <w:i w:val="0"/>
          <w:sz w:val="28"/>
        </w:rPr>
        <w:t>Студентки 3 курсу, групи ДО-31</w:t>
      </w:r>
    </w:p>
    <w:p>
      <w:pPr>
        <w:ind w:firstLine="0"/>
        <w:jc w:val="right"/>
        <w:spacing w:line="360" w:lineRule="auto"/>
      </w:pPr>
      <w:r>
        <w:rPr>
          <w:rFonts w:ascii="Times New Roman" w:hAnsi="Times New Roman" w:eastAsia="Times New Roman"/>
          <w:b w:val="0"/>
          <w:i w:val="0"/>
          <w:sz w:val="28"/>
        </w:rPr>
        <w:t>напряму підготовки 012 «Дошкільна освіта»</w:t>
      </w:r>
    </w:p>
    <w:p>
      <w:pPr>
        <w:ind w:firstLine="0"/>
        <w:jc w:val="right"/>
        <w:spacing w:line="360" w:lineRule="auto"/>
      </w:pPr>
      <w:r>
        <w:rPr>
          <w:rFonts w:ascii="Times New Roman" w:hAnsi="Times New Roman" w:eastAsia="Times New Roman"/>
          <w:b w:val="0"/>
          <w:i w:val="0"/>
          <w:sz w:val="28"/>
        </w:rPr>
        <w:t>спеціалізація: логопедія</w:t>
      </w:r>
    </w:p>
    <w:p>
      <w:pPr>
        <w:ind w:firstLine="0"/>
        <w:jc w:val="right"/>
        <w:spacing w:line="360" w:lineRule="auto"/>
      </w:pPr>
      <w:r>
        <w:rPr>
          <w:rFonts w:ascii="Times New Roman" w:hAnsi="Times New Roman" w:eastAsia="Times New Roman"/>
          <w:b w:val="0"/>
          <w:i w:val="0"/>
          <w:sz w:val="28"/>
        </w:rPr>
        <w:t>________________________________</w:t>
      </w:r>
    </w:p>
    <w:p>
      <w:pPr>
        <w:ind w:firstLine="0"/>
        <w:jc w:val="right"/>
        <w:spacing w:line="360" w:lineRule="auto"/>
      </w:pPr>
      <w:r>
        <w:rPr>
          <w:rFonts w:ascii="Times New Roman" w:hAnsi="Times New Roman" w:eastAsia="Times New Roman"/>
          <w:b w:val="0"/>
          <w:i w:val="0"/>
          <w:sz w:val="28"/>
        </w:rPr>
      </w:r>
    </w:p>
    <w:p>
      <w:pPr>
        <w:ind w:firstLine="0"/>
        <w:jc w:val="right"/>
        <w:spacing w:line="360" w:lineRule="auto"/>
      </w:pPr>
      <w:r>
        <w:rPr>
          <w:rFonts w:ascii="Times New Roman" w:hAnsi="Times New Roman" w:eastAsia="Times New Roman"/>
          <w:b w:val="0"/>
          <w:i w:val="0"/>
          <w:sz w:val="28"/>
        </w:rPr>
        <w:t>Керівник: ст. викладач кафедри педагогіки</w:t>
      </w:r>
    </w:p>
    <w:p>
      <w:pPr>
        <w:ind w:firstLine="0"/>
        <w:jc w:val="right"/>
        <w:spacing w:line="360" w:lineRule="auto"/>
      </w:pPr>
      <w:r>
        <w:rPr>
          <w:rFonts w:ascii="Times New Roman" w:hAnsi="Times New Roman" w:eastAsia="Times New Roman"/>
          <w:b w:val="0"/>
          <w:i w:val="0"/>
          <w:sz w:val="28"/>
        </w:rPr>
        <w:t>та психології</w:t>
      </w:r>
    </w:p>
    <w:p>
      <w:pPr>
        <w:ind w:firstLine="0"/>
        <w:jc w:val="right"/>
        <w:spacing w:line="360" w:lineRule="auto"/>
      </w:pPr>
      <w:r>
        <w:rPr>
          <w:rFonts w:ascii="Times New Roman" w:hAnsi="Times New Roman" w:eastAsia="Times New Roman"/>
          <w:b w:val="0"/>
          <w:i w:val="0"/>
          <w:sz w:val="28"/>
        </w:rPr>
        <w:t>________________________________</w:t>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r>
    </w:p>
    <w:p>
      <w:pPr>
        <w:ind w:firstLine="0"/>
        <w:jc w:val="center"/>
        <w:spacing w:line="360" w:lineRule="auto"/>
      </w:pPr>
      <w:r>
        <w:rPr>
          <w:rFonts w:ascii="Times New Roman" w:hAnsi="Times New Roman" w:eastAsia="Times New Roman"/>
          <w:b w:val="0"/>
          <w:i w:val="0"/>
          <w:sz w:val="28"/>
        </w:rPr>
        <w:t>Хмельницький – 2025 рік</w:t>
      </w:r>
    </w:p>
    <w:p>
      <w:pPr>
        <w:spacing w:before="0" w:after="0"/>
        <w:ind w:firstLine="0"/>
      </w:pPr>
      <w:r>
        <w:br w:type="page"/>
      </w:r>
    </w:p>
    <w:p>
      <w:pPr>
        <w:ind w:firstLine="0"/>
        <w:jc w:val="center"/>
        <w:spacing w:line="360" w:lineRule="auto"/>
      </w:pPr>
      <w:r>
        <w:rPr>
          <w:rFonts w:ascii="Times New Roman" w:hAnsi="Times New Roman" w:eastAsia="Times New Roman"/>
          <w:b/>
          <w:i w:val="0"/>
          <w:sz w:val="28"/>
        </w:rPr>
        <w:t>ЗМІСТ</w:t>
      </w:r>
    </w:p>
    <w:p>
      <w:pPr>
        <w:ind w:firstLine="0"/>
        <w:jc w:val="both"/>
        <w:spacing w:line="360" w:lineRule="auto"/>
      </w:pPr>
      <w:r>
        <w:rPr>
          <w:rFonts w:ascii="Times New Roman" w:hAnsi="Times New Roman" w:eastAsia="Times New Roman"/>
          <w:b/>
          <w:i w:val="0"/>
          <w:sz w:val="28"/>
        </w:rPr>
        <w:t>ВСТУП</w:t>
      </w:r>
      <w:r>
        <w:rPr>
          <w:rFonts w:ascii="Times New Roman" w:hAnsi="Times New Roman" w:eastAsia="Times New Roman"/>
          <w:b w:val="0"/>
          <w:i w:val="0"/>
          <w:sz w:val="28"/>
        </w:rPr>
        <w:t xml:space="preserve"> ............................................................ 3</w:t>
      </w:r>
    </w:p>
    <w:p>
      <w:pPr>
        <w:ind w:firstLine="0"/>
        <w:jc w:val="both"/>
        <w:spacing w:line="360" w:lineRule="auto"/>
      </w:pPr>
      <w:r>
        <w:rPr>
          <w:rFonts w:ascii="Times New Roman" w:hAnsi="Times New Roman" w:eastAsia="Times New Roman"/>
          <w:b/>
          <w:i w:val="0"/>
          <w:sz w:val="28"/>
        </w:rPr>
        <w:t>РОЗДІЛ 1. ТЕОРЕТИЧНИЙ АНАЛІЗ ПРОБЛЕМИ ПРЕВЕНЦІЇ МОВЛЕННЄВИХ ПОРУШЕНЬ У ДІТЕЙ В УМОВАХ НЕВИЗНАЧЕНОСТІ</w:t>
      </w:r>
      <w:r>
        <w:rPr>
          <w:rFonts w:ascii="Times New Roman" w:hAnsi="Times New Roman" w:eastAsia="Times New Roman"/>
          <w:b w:val="0"/>
          <w:i w:val="0"/>
          <w:sz w:val="28"/>
        </w:rPr>
        <w:t xml:space="preserve"> .... 7</w:t>
      </w:r>
    </w:p>
    <w:p>
      <w:pPr>
        <w:ind w:firstLine="0"/>
        <w:jc w:val="both"/>
        <w:spacing w:line="360" w:lineRule="auto"/>
      </w:pPr>
      <w:r>
        <w:rPr>
          <w:rFonts w:ascii="Times New Roman" w:hAnsi="Times New Roman" w:eastAsia="Times New Roman"/>
          <w:b w:val="0"/>
          <w:i w:val="0"/>
          <w:sz w:val="28"/>
        </w:rPr>
        <w:t>1.1. Психолінгвістичні особливості мовленнєвого розвитку старших дошкільників</w:t>
      </w:r>
      <w:r>
        <w:rPr>
          <w:rFonts w:ascii="Times New Roman" w:hAnsi="Times New Roman" w:eastAsia="Times New Roman"/>
          <w:b w:val="0"/>
          <w:i w:val="0"/>
          <w:sz w:val="28"/>
        </w:rPr>
        <w:t xml:space="preserve"> .... 7</w:t>
      </w:r>
    </w:p>
    <w:p>
      <w:pPr>
        <w:ind w:firstLine="0"/>
        <w:jc w:val="both"/>
        <w:spacing w:line="360" w:lineRule="auto"/>
      </w:pPr>
      <w:r>
        <w:rPr>
          <w:rFonts w:ascii="Times New Roman" w:hAnsi="Times New Roman" w:eastAsia="Times New Roman"/>
          <w:b w:val="0"/>
          <w:i w:val="0"/>
          <w:sz w:val="28"/>
        </w:rPr>
        <w:t>1.2. Феномен «екстремальної невизначеності» та його вплив на когнітивну сферу дитини</w:t>
      </w:r>
      <w:r>
        <w:rPr>
          <w:rFonts w:ascii="Times New Roman" w:hAnsi="Times New Roman" w:eastAsia="Times New Roman"/>
          <w:b w:val="0"/>
          <w:i w:val="0"/>
          <w:sz w:val="28"/>
        </w:rPr>
        <w:t xml:space="preserve"> .... 14</w:t>
      </w:r>
    </w:p>
    <w:p>
      <w:pPr>
        <w:ind w:firstLine="0"/>
        <w:jc w:val="both"/>
        <w:spacing w:line="360" w:lineRule="auto"/>
      </w:pPr>
      <w:r>
        <w:rPr>
          <w:rFonts w:ascii="Times New Roman" w:hAnsi="Times New Roman" w:eastAsia="Times New Roman"/>
          <w:b w:val="0"/>
          <w:i w:val="0"/>
          <w:sz w:val="28"/>
        </w:rPr>
        <w:t>1.3. Наукові підходи до превенції труднощів мовлення в сучасній логопсихології</w:t>
      </w:r>
      <w:r>
        <w:rPr>
          <w:rFonts w:ascii="Times New Roman" w:hAnsi="Times New Roman" w:eastAsia="Times New Roman"/>
          <w:b w:val="0"/>
          <w:i w:val="0"/>
          <w:sz w:val="28"/>
        </w:rPr>
        <w:t xml:space="preserve"> .... 21</w:t>
      </w:r>
    </w:p>
    <w:p>
      <w:pPr>
        <w:ind w:firstLine="0"/>
        <w:jc w:val="both"/>
        <w:spacing w:line="360" w:lineRule="auto"/>
      </w:pPr>
      <w:r>
        <w:rPr>
          <w:rFonts w:ascii="Times New Roman" w:hAnsi="Times New Roman" w:eastAsia="Times New Roman"/>
          <w:b/>
          <w:i w:val="0"/>
          <w:sz w:val="28"/>
        </w:rPr>
        <w:t>РОЗДІЛ 2. ОРГАНІЗАЦІЯ ПРЕВЕНТИВНОЇ РОБОТИ В ПЕРІОД ЕКСТРЕМАЛЬНИХ УМОВ</w:t>
      </w:r>
      <w:r>
        <w:rPr>
          <w:rFonts w:ascii="Times New Roman" w:hAnsi="Times New Roman" w:eastAsia="Times New Roman"/>
          <w:b w:val="0"/>
          <w:i w:val="0"/>
          <w:sz w:val="28"/>
        </w:rPr>
        <w:t xml:space="preserve"> .... 27</w:t>
      </w:r>
    </w:p>
    <w:p>
      <w:pPr>
        <w:ind w:firstLine="0"/>
        <w:jc w:val="both"/>
        <w:spacing w:line="360" w:lineRule="auto"/>
      </w:pPr>
      <w:r>
        <w:rPr>
          <w:rFonts w:ascii="Times New Roman" w:hAnsi="Times New Roman" w:eastAsia="Times New Roman"/>
          <w:b w:val="0"/>
          <w:i w:val="0"/>
          <w:sz w:val="28"/>
        </w:rPr>
        <w:t>2.1. Моніторинг стану мовленнєвих та немовленнєвих процесів у дітей у кризових ситуаціях</w:t>
      </w:r>
      <w:r>
        <w:rPr>
          <w:rFonts w:ascii="Times New Roman" w:hAnsi="Times New Roman" w:eastAsia="Times New Roman"/>
          <w:b w:val="0"/>
          <w:i w:val="0"/>
          <w:sz w:val="28"/>
        </w:rPr>
        <w:t xml:space="preserve"> .... 27</w:t>
      </w:r>
    </w:p>
    <w:p>
      <w:pPr>
        <w:ind w:firstLine="0"/>
        <w:jc w:val="both"/>
        <w:spacing w:line="360" w:lineRule="auto"/>
      </w:pPr>
      <w:r>
        <w:rPr>
          <w:rFonts w:ascii="Times New Roman" w:hAnsi="Times New Roman" w:eastAsia="Times New Roman"/>
          <w:b w:val="0"/>
          <w:i w:val="0"/>
          <w:sz w:val="28"/>
        </w:rPr>
        <w:t>2.2. Система ігрових та арт-терапевтичних методів запобігання мовленнєвим труднощам</w:t>
      </w:r>
      <w:r>
        <w:rPr>
          <w:rFonts w:ascii="Times New Roman" w:hAnsi="Times New Roman" w:eastAsia="Times New Roman"/>
          <w:b w:val="0"/>
          <w:i w:val="0"/>
          <w:sz w:val="28"/>
        </w:rPr>
        <w:t xml:space="preserve"> .... 33</w:t>
      </w:r>
    </w:p>
    <w:p>
      <w:pPr>
        <w:ind w:firstLine="0"/>
        <w:jc w:val="both"/>
        <w:spacing w:line="360" w:lineRule="auto"/>
      </w:pPr>
      <w:r>
        <w:rPr>
          <w:rFonts w:ascii="Times New Roman" w:hAnsi="Times New Roman" w:eastAsia="Times New Roman"/>
          <w:b w:val="0"/>
          <w:i w:val="0"/>
          <w:sz w:val="28"/>
        </w:rPr>
        <w:t>2.3. Модель співпраці закладу дошкільної освіти з батьками в умовах невизначеності</w:t>
      </w:r>
      <w:r>
        <w:rPr>
          <w:rFonts w:ascii="Times New Roman" w:hAnsi="Times New Roman" w:eastAsia="Times New Roman"/>
          <w:b w:val="0"/>
          <w:i w:val="0"/>
          <w:sz w:val="28"/>
        </w:rPr>
        <w:t xml:space="preserve"> .... 39</w:t>
      </w:r>
    </w:p>
    <w:p>
      <w:pPr>
        <w:ind w:firstLine="0"/>
        <w:jc w:val="both"/>
        <w:spacing w:line="360" w:lineRule="auto"/>
      </w:pPr>
      <w:r>
        <w:rPr>
          <w:rFonts w:ascii="Times New Roman" w:hAnsi="Times New Roman" w:eastAsia="Times New Roman"/>
          <w:b/>
          <w:i w:val="0"/>
          <w:sz w:val="28"/>
        </w:rPr>
        <w:t>ВИСНОВКИ</w:t>
      </w:r>
      <w:r>
        <w:rPr>
          <w:rFonts w:ascii="Times New Roman" w:hAnsi="Times New Roman" w:eastAsia="Times New Roman"/>
          <w:b w:val="0"/>
          <w:i w:val="0"/>
          <w:sz w:val="28"/>
        </w:rPr>
        <w:t xml:space="preserve"> ......................................................... 45</w:t>
      </w:r>
    </w:p>
    <w:p>
      <w:pPr>
        <w:ind w:firstLine="0"/>
        <w:jc w:val="both"/>
        <w:spacing w:line="360" w:lineRule="auto"/>
      </w:pPr>
      <w:r>
        <w:rPr>
          <w:rFonts w:ascii="Times New Roman" w:hAnsi="Times New Roman" w:eastAsia="Times New Roman"/>
          <w:b/>
          <w:i w:val="0"/>
          <w:sz w:val="28"/>
        </w:rPr>
        <w:t>СПИСОК ВИКОРИСТАНИХ ДЖЕРЕЛ</w:t>
      </w:r>
      <w:r>
        <w:rPr>
          <w:rFonts w:ascii="Times New Roman" w:hAnsi="Times New Roman" w:eastAsia="Times New Roman"/>
          <w:b w:val="0"/>
          <w:i w:val="0"/>
          <w:sz w:val="28"/>
        </w:rPr>
        <w:t xml:space="preserve"> ....................................... 47</w:t>
      </w:r>
    </w:p>
    <w:p>
      <w:pPr>
        <w:ind w:firstLine="0"/>
        <w:jc w:val="both"/>
        <w:spacing w:line="360" w:lineRule="auto"/>
      </w:pPr>
      <w:r>
        <w:rPr>
          <w:rFonts w:ascii="Times New Roman" w:hAnsi="Times New Roman" w:eastAsia="Times New Roman"/>
          <w:b/>
          <w:i w:val="0"/>
          <w:sz w:val="28"/>
        </w:rPr>
        <w:t>ДОДАТКИ</w:t>
      </w:r>
      <w:r>
        <w:rPr>
          <w:rFonts w:ascii="Times New Roman" w:hAnsi="Times New Roman" w:eastAsia="Times New Roman"/>
          <w:b w:val="0"/>
          <w:i w:val="0"/>
          <w:sz w:val="28"/>
        </w:rPr>
        <w:t xml:space="preserve"> .......................................................... 52</w:t>
      </w:r>
    </w:p>
    <w:p>
      <w:pPr>
        <w:spacing w:before="0" w:after="0"/>
        <w:ind w:firstLine="0"/>
      </w:pPr>
      <w:r>
        <w:br w:type="page"/>
      </w:r>
    </w:p>
    <w:p>
      <w:pPr>
        <w:ind w:firstLine="0"/>
        <w:jc w:val="center"/>
        <w:spacing w:line="360" w:lineRule="auto"/>
      </w:pPr>
      <w:r>
        <w:rPr>
          <w:rFonts w:ascii="Times New Roman" w:hAnsi="Times New Roman" w:eastAsia="Times New Roman"/>
          <w:b/>
          <w:i w:val="0"/>
          <w:sz w:val="28"/>
        </w:rPr>
        <w:t>ВСТУП</w:t>
      </w:r>
    </w:p>
    <w:p>
      <w:pPr>
        <w:ind w:firstLine="709"/>
        <w:jc w:val="both"/>
        <w:spacing w:line="360" w:lineRule="auto"/>
      </w:pPr>
      <w:r>
        <w:rPr>
          <w:rFonts w:ascii="Times New Roman" w:hAnsi="Times New Roman" w:eastAsia="Times New Roman"/>
          <w:b/>
          <w:i w:val="0"/>
          <w:sz w:val="28"/>
        </w:rPr>
        <w:t>Актуальність дослідження.</w:t>
      </w:r>
      <w:r>
        <w:rPr>
          <w:rFonts w:ascii="Times New Roman" w:hAnsi="Times New Roman" w:eastAsia="Times New Roman"/>
          <w:b w:val="0"/>
          <w:i w:val="0"/>
          <w:sz w:val="28"/>
        </w:rPr>
        <w:t xml:space="preserve"> Проблема мовленнєвого розвитку дітей дошкільного віку завжди перебувала в центрі уваги педагогічної науки та практики. Однак в умовах повномасштабного збройного вторгнення Російської Федерації в Україну, що розпочалося 24 лютого 2022 року, ця проблема набула принципово нових, вкрай гострих ознак, що зумовлює нагальну потребу в її переосмисленні та розробці ефективних превентивних стратегій.</w:t>
      </w:r>
    </w:p>
    <w:p>
      <w:pPr>
        <w:ind w:firstLine="709"/>
        <w:jc w:val="both"/>
        <w:spacing w:line="360" w:lineRule="auto"/>
      </w:pPr>
      <w:r>
        <w:rPr>
          <w:rFonts w:ascii="Times New Roman" w:hAnsi="Times New Roman" w:eastAsia="Times New Roman"/>
          <w:b w:val="0"/>
          <w:i w:val="0"/>
          <w:sz w:val="28"/>
        </w:rPr>
        <w:t>Українське законодавство у сфері дошкільної освіти приділяє значну увагу забезпеченню якісного мовленнєвого розвитку дітей. Закон України «Про дошкільну освіту» (2001, зі змінами 2024 р.) визначає дошкільну освіту як самостійний пріоритетний рівень системи безперервної освіти, підкреслюючи важливість всебічного розвитку особистості дитини [6]. Базовий компонент дошкільної освіти закріплює мовленнєву компетентність як одну з ключових для успішної соціалізації дошкільника. Лист Міністерства освіти і науки України № 1/3737-22 «Про забезпечення психологічного супроводу учасників освітнього процесу в умовах воєнного стану» наголошує на критичній потребі в психологічній підтримці дітей, зокрема в подоланні наслідків травматичного стресу, що безпосередньо позначається на мовленнєвій діяльності [14]. Стратегія розвитку дошкільної освіти до 2030 року акцентує на необхідності модернізації підходів до мовленнєвого виховання з урахуванням сучасних викликів [29].</w:t>
      </w:r>
    </w:p>
    <w:p>
      <w:pPr>
        <w:ind w:firstLine="709"/>
        <w:jc w:val="both"/>
        <w:spacing w:line="360" w:lineRule="auto"/>
      </w:pPr>
      <w:r>
        <w:rPr>
          <w:rFonts w:ascii="Times New Roman" w:hAnsi="Times New Roman" w:eastAsia="Times New Roman"/>
          <w:b w:val="0"/>
          <w:i w:val="0"/>
          <w:sz w:val="28"/>
        </w:rPr>
        <w:t>Разом із тим аналіз сучасної педагогічної практики засвідчує суттєві недоліки в організації превентивної роботи з мовлення в закладах дошкільної освіти (ЗДО) в умовах воєнного стану. По-перше, значна частина педагогів і логопедів не має достатньої підготовки для роботи з дітьми, котрі пережили психотравматичні події. По-друге, традиційні методики мовленнєвого розвитку, розроблені для умов мирного часу, часто виявляються неефективними при роботі з дітьми в стані гострого стресу або посттравматичного розладу. По-третє, спостерігається дефіцит науково обґрунтованих комплексних превентивних програм, які б враховували специфіку «екстремальної невизначеності» як системного феномену. Це породжує суперечність між суспільною потребою в ефективній превенції мовленнєвих труднощів у дошкільників в умовах війни та недостатньою розробленістю теоретико-методичних засад такої роботи.</w:t>
      </w:r>
    </w:p>
    <w:p>
      <w:pPr>
        <w:ind w:firstLine="709"/>
        <w:jc w:val="both"/>
        <w:spacing w:line="360" w:lineRule="auto"/>
      </w:pPr>
      <w:r>
        <w:rPr>
          <w:rFonts w:ascii="Times New Roman" w:hAnsi="Times New Roman" w:eastAsia="Times New Roman"/>
          <w:b/>
          <w:i w:val="0"/>
          <w:sz w:val="28"/>
        </w:rPr>
        <w:t>Ступінь дослідженості проблеми.</w:t>
      </w:r>
      <w:r>
        <w:rPr>
          <w:rFonts w:ascii="Times New Roman" w:hAnsi="Times New Roman" w:eastAsia="Times New Roman"/>
          <w:b w:val="0"/>
          <w:i w:val="0"/>
          <w:sz w:val="28"/>
        </w:rPr>
        <w:t xml:space="preserve"> Різні аспекти мовленнєвого розвитку дітей дошкільного віку та превенції мовленнєвих порушень досліджувалися такими вченими, як: А. М. Богуш, Л. С. Виготський, Н. П. Гаврилюк, В. П. Глухов, Л. О. Калмикова, Т. С. Кириленко, С. Ю. Конопляста, О. А. Леонтьєв, О. Р. Лурія, О. В. Мартинчук, К. Л. Мілютіна, Т. О. Піроженко, І. А. Пінчук, Т. І. Поніманська, Л. І. Прохоренко, Ю. В. Рібцун, О. В. Романенко, А. В. Семенович, Г. О. Сіліна, В. В. Тарасун, А. Ю. Татаринцева, Л. І. Трофименко, Т. Б. Філічева, Н. В. Чередниченко, Г. Р. Шашкіна, М. К. Шеремет та ін. Проте комплексного дослідження, присвяченого превенції мовленнєвих труднощів у старших дошкільників в умовах екстремальної невизначеності воєнного часу, у вітчизняній науці ще не проводилося.</w:t>
      </w:r>
    </w:p>
    <w:p>
      <w:pPr>
        <w:ind w:firstLine="709"/>
        <w:jc w:val="both"/>
        <w:spacing w:line="360" w:lineRule="auto"/>
      </w:pPr>
      <w:r>
        <w:rPr>
          <w:rFonts w:ascii="Times New Roman" w:hAnsi="Times New Roman" w:eastAsia="Times New Roman"/>
          <w:b/>
          <w:i w:val="0"/>
          <w:sz w:val="28"/>
        </w:rPr>
        <w:t>Об'єкт дослідження</w:t>
      </w:r>
      <w:r>
        <w:rPr>
          <w:rFonts w:ascii="Times New Roman" w:hAnsi="Times New Roman" w:eastAsia="Times New Roman"/>
          <w:b w:val="0"/>
          <w:i w:val="0"/>
          <w:sz w:val="28"/>
        </w:rPr>
        <w:t xml:space="preserve"> – процес мовленнєвого розвитку дітей старшого дошкільного віку в умовах екстремальної невизначеності.</w:t>
      </w:r>
    </w:p>
    <w:p>
      <w:pPr>
        <w:ind w:firstLine="709"/>
        <w:jc w:val="both"/>
        <w:spacing w:line="360" w:lineRule="auto"/>
      </w:pPr>
      <w:r>
        <w:rPr>
          <w:rFonts w:ascii="Times New Roman" w:hAnsi="Times New Roman" w:eastAsia="Times New Roman"/>
          <w:b/>
          <w:i w:val="0"/>
          <w:sz w:val="28"/>
        </w:rPr>
        <w:t>Предмет дослідження</w:t>
      </w:r>
      <w:r>
        <w:rPr>
          <w:rFonts w:ascii="Times New Roman" w:hAnsi="Times New Roman" w:eastAsia="Times New Roman"/>
          <w:b w:val="0"/>
          <w:i w:val="0"/>
          <w:sz w:val="28"/>
        </w:rPr>
        <w:t xml:space="preserve"> – система превентивних засобів і методів запобігання труднощам мовлення у старших дошкільників в умовах воєнного стану.</w:t>
      </w:r>
    </w:p>
    <w:p>
      <w:pPr>
        <w:ind w:firstLine="709"/>
        <w:jc w:val="both"/>
        <w:spacing w:line="360" w:lineRule="auto"/>
      </w:pPr>
      <w:r>
        <w:rPr>
          <w:rFonts w:ascii="Times New Roman" w:hAnsi="Times New Roman" w:eastAsia="Times New Roman"/>
          <w:b/>
          <w:i w:val="0"/>
          <w:sz w:val="28"/>
        </w:rPr>
        <w:t>Мета дослідження</w:t>
      </w:r>
      <w:r>
        <w:rPr>
          <w:rFonts w:ascii="Times New Roman" w:hAnsi="Times New Roman" w:eastAsia="Times New Roman"/>
          <w:b w:val="0"/>
          <w:i w:val="0"/>
          <w:sz w:val="28"/>
        </w:rPr>
        <w:t xml:space="preserve"> – теоретично обґрунтувати та розробити систему превентивної логопедичної роботи з дітьми старшого дошкільного віку в умовах екстремальної невизначеності, спрямованої на попередження виникнення та поглиблення мовленнєвих порушень.</w:t>
      </w:r>
    </w:p>
    <w:p>
      <w:pPr>
        <w:ind w:firstLine="709"/>
        <w:jc w:val="both"/>
        <w:spacing w:line="360" w:lineRule="auto"/>
      </w:pPr>
      <w:r>
        <w:rPr>
          <w:rFonts w:ascii="Times New Roman" w:hAnsi="Times New Roman" w:eastAsia="Times New Roman"/>
          <w:b/>
          <w:i w:val="0"/>
          <w:sz w:val="28"/>
        </w:rPr>
        <w:t>Завдання дослідження:</w:t>
      </w:r>
    </w:p>
    <w:p>
      <w:pPr>
        <w:ind w:firstLine="709"/>
        <w:jc w:val="both"/>
        <w:spacing w:line="360" w:lineRule="auto"/>
      </w:pPr>
      <w:r>
        <w:rPr>
          <w:rFonts w:ascii="Times New Roman" w:hAnsi="Times New Roman" w:eastAsia="Times New Roman"/>
          <w:b w:val="0"/>
          <w:i w:val="0"/>
          <w:sz w:val="28"/>
        </w:rPr>
        <w:t>1) проаналізувати психолінгвістичні особливості мовленнєвого розвитку дітей старшого дошкільного віку в нормі;</w:t>
      </w:r>
    </w:p>
    <w:p>
      <w:pPr>
        <w:ind w:firstLine="709"/>
        <w:jc w:val="both"/>
        <w:spacing w:line="360" w:lineRule="auto"/>
      </w:pPr>
      <w:r>
        <w:rPr>
          <w:rFonts w:ascii="Times New Roman" w:hAnsi="Times New Roman" w:eastAsia="Times New Roman"/>
          <w:b w:val="0"/>
          <w:i w:val="0"/>
          <w:sz w:val="28"/>
        </w:rPr>
        <w:t>2) розкрити феномен «екстремальної невизначеності» та його вплив на когнітивну і мовленнєву сфери дитини;</w:t>
      </w:r>
    </w:p>
    <w:p>
      <w:pPr>
        <w:ind w:firstLine="709"/>
        <w:jc w:val="both"/>
        <w:spacing w:line="360" w:lineRule="auto"/>
      </w:pPr>
      <w:r>
        <w:rPr>
          <w:rFonts w:ascii="Times New Roman" w:hAnsi="Times New Roman" w:eastAsia="Times New Roman"/>
          <w:b w:val="0"/>
          <w:i w:val="0"/>
          <w:sz w:val="28"/>
        </w:rPr>
        <w:t>3) систематизувати наукові підходи до превенції мовленнєвих труднощів у сучасній логопсихології;</w:t>
      </w:r>
    </w:p>
    <w:p>
      <w:pPr>
        <w:ind w:firstLine="709"/>
        <w:jc w:val="both"/>
        <w:spacing w:line="360" w:lineRule="auto"/>
      </w:pPr>
      <w:r>
        <w:rPr>
          <w:rFonts w:ascii="Times New Roman" w:hAnsi="Times New Roman" w:eastAsia="Times New Roman"/>
          <w:b w:val="0"/>
          <w:i w:val="0"/>
          <w:sz w:val="28"/>
        </w:rPr>
        <w:t>4) обґрунтувати систему моніторингу мовленнєвих та немовленнєвих процесів у дітей у кризових ситуаціях;</w:t>
      </w:r>
    </w:p>
    <w:p>
      <w:pPr>
        <w:ind w:firstLine="709"/>
        <w:jc w:val="both"/>
        <w:spacing w:line="360" w:lineRule="auto"/>
      </w:pPr>
      <w:r>
        <w:rPr>
          <w:rFonts w:ascii="Times New Roman" w:hAnsi="Times New Roman" w:eastAsia="Times New Roman"/>
          <w:b w:val="0"/>
          <w:i w:val="0"/>
          <w:sz w:val="28"/>
        </w:rPr>
        <w:t>5) розробити комплекс ігрових та арт-терапевтичних методів запобігання мовленнєвим труднощам у старших дошкільників;</w:t>
      </w:r>
    </w:p>
    <w:p>
      <w:pPr>
        <w:ind w:firstLine="709"/>
        <w:jc w:val="both"/>
        <w:spacing w:line="360" w:lineRule="auto"/>
      </w:pPr>
      <w:r>
        <w:rPr>
          <w:rFonts w:ascii="Times New Roman" w:hAnsi="Times New Roman" w:eastAsia="Times New Roman"/>
          <w:b w:val="0"/>
          <w:i w:val="0"/>
          <w:sz w:val="28"/>
        </w:rPr>
        <w:t>6) визначити модель співпраці закладу дошкільної освіти з батьками в умовах невизначеності.</w:t>
      </w:r>
    </w:p>
    <w:p>
      <w:pPr>
        <w:ind w:firstLine="709"/>
        <w:jc w:val="both"/>
        <w:spacing w:line="360" w:lineRule="auto"/>
      </w:pPr>
      <w:r>
        <w:rPr>
          <w:rFonts w:ascii="Times New Roman" w:hAnsi="Times New Roman" w:eastAsia="Times New Roman"/>
          <w:b/>
          <w:i w:val="0"/>
          <w:sz w:val="28"/>
        </w:rPr>
        <w:t xml:space="preserve">Методи дослідження: </w:t>
      </w:r>
      <w:r>
        <w:rPr>
          <w:rFonts w:ascii="Times New Roman" w:hAnsi="Times New Roman" w:eastAsia="Times New Roman"/>
          <w:b w:val="0"/>
          <w:i w:val="0"/>
          <w:sz w:val="28"/>
        </w:rPr>
        <w:t>теоретичні – аналіз, синтез, узагальнення та систематизація наукової літератури з проблеми дослідження; порівняльний аналіз вітчизняних і зарубіжних підходів до превенції мовленнєвих порушень; моделювання системи превентивної роботи; емпіричні – спостереження за мовленнєвою діяльністю дітей, аналіз документації закладів дошкільної освіти, вивчення та узагальнення педагогічного досвіду роботи в умовах воєнного стану.</w:t>
      </w:r>
    </w:p>
    <w:p>
      <w:pPr>
        <w:ind w:firstLine="709"/>
        <w:jc w:val="both"/>
        <w:spacing w:line="360" w:lineRule="auto"/>
      </w:pPr>
      <w:r>
        <w:rPr>
          <w:rFonts w:ascii="Times New Roman" w:hAnsi="Times New Roman" w:eastAsia="Times New Roman"/>
          <w:b/>
          <w:i w:val="0"/>
          <w:sz w:val="28"/>
        </w:rPr>
        <w:t xml:space="preserve">Апробація дослідження. </w:t>
      </w:r>
      <w:r>
        <w:rPr>
          <w:rFonts w:ascii="Times New Roman" w:hAnsi="Times New Roman" w:eastAsia="Times New Roman"/>
          <w:b w:val="0"/>
          <w:i w:val="0"/>
          <w:sz w:val="28"/>
        </w:rPr>
        <w:t>Основні положення та результати дослідження були представлені на студентській науково-практичній конференції «Сучасні виклики логопсихології та спеціальної педагогіки» (Хмельницька гуманітарно-педагогічна академія, 2025) та обговорювалися на засіданні кафедри педагогіки та психології академії.</w:t>
      </w:r>
    </w:p>
    <w:p>
      <w:pPr>
        <w:ind w:firstLine="709"/>
        <w:jc w:val="both"/>
        <w:spacing w:line="360" w:lineRule="auto"/>
      </w:pPr>
      <w:r>
        <w:rPr>
          <w:rFonts w:ascii="Times New Roman" w:hAnsi="Times New Roman" w:eastAsia="Times New Roman"/>
          <w:b/>
          <w:i w:val="0"/>
          <w:sz w:val="28"/>
        </w:rPr>
        <w:t xml:space="preserve">Структура роботи. </w:t>
      </w:r>
      <w:r>
        <w:rPr>
          <w:rFonts w:ascii="Times New Roman" w:hAnsi="Times New Roman" w:eastAsia="Times New Roman"/>
          <w:b w:val="0"/>
          <w:i w:val="0"/>
          <w:sz w:val="28"/>
        </w:rPr>
        <w:t>Курсова робота складається зі вступу, двох розділів, висновків, списку використаних джерел (45 позицій) та додатків. Загальний обсяг роботи – 55 сторінок, обсяг основної частини – 42 сторінки.</w:t>
      </w:r>
    </w:p>
    <w:p>
      <w:pPr>
        <w:spacing w:before="0" w:after="0"/>
        <w:ind w:firstLine="0"/>
      </w:pPr>
      <w:r>
        <w:br w:type="page"/>
      </w:r>
    </w:p>
    <w:p>
      <w:pPr>
        <w:ind w:firstLine="0"/>
        <w:jc w:val="center"/>
        <w:spacing w:line="360" w:lineRule="auto"/>
      </w:pPr>
      <w:r>
        <w:rPr>
          <w:rFonts w:ascii="Times New Roman" w:hAnsi="Times New Roman" w:eastAsia="Times New Roman"/>
          <w:b/>
          <w:i w:val="0"/>
          <w:sz w:val="28"/>
        </w:rPr>
        <w:t>РОЗДІЛ 1. ТЕОРЕТИЧНИЙ АНАЛІЗ ПРОБЛЕМИ ПРЕВЕНЦІЇ МОВЛЕННЄВИХ ПОРУШЕНЬ У ДІТЕЙ В УМОВАХ НЕВИЗНАЧЕНОСТІ</w:t>
      </w:r>
    </w:p>
    <w:p>
      <w:pPr>
        <w:ind w:firstLine="0"/>
        <w:jc w:val="both"/>
        <w:spacing w:line="360" w:lineRule="auto"/>
      </w:pPr>
      <w:r>
        <w:rPr>
          <w:rFonts w:ascii="Times New Roman" w:hAnsi="Times New Roman" w:eastAsia="Times New Roman"/>
          <w:b/>
          <w:i w:val="0"/>
          <w:sz w:val="28"/>
        </w:rPr>
        <w:t>1.1. Психолінгвістичні особливості мовленнєвого розвитку старших дошкільників</w:t>
      </w:r>
    </w:p>
    <w:p>
      <w:pPr>
        <w:ind w:firstLine="709"/>
        <w:jc w:val="both"/>
        <w:spacing w:line="360" w:lineRule="auto"/>
      </w:pPr>
      <w:r>
        <w:rPr>
          <w:rFonts w:ascii="Times New Roman" w:hAnsi="Times New Roman" w:eastAsia="Times New Roman"/>
          <w:b w:val="0"/>
          <w:i w:val="0"/>
          <w:sz w:val="28"/>
        </w:rPr>
        <w:t>Старший дошкільний вік (5–7 років) є одним із найважливіших сенситивних періодів у розвитку мовлення дитини. Саме в цей час відбувається якісний стрибок у формуванні всіх компонентів мовленнєвої системи – фонетичної, лексичної, граматичної та зв'язного мовлення, що є необхідною передумовою успішного входження дитини до шкільного навчання [1]. Психолінгвістичний підхід до вивчення мовленнєвого розвитку передбачає аналіз мовлення як складного психічного процесу, що є одночасно засобом спілкування, пізнання та саморегуляції особистості.</w:t>
      </w:r>
    </w:p>
    <w:p>
      <w:pPr>
        <w:ind w:firstLine="709"/>
        <w:jc w:val="both"/>
        <w:spacing w:line="360" w:lineRule="auto"/>
      </w:pPr>
      <w:r>
        <w:rPr>
          <w:rFonts w:ascii="Times New Roman" w:hAnsi="Times New Roman" w:eastAsia="Times New Roman"/>
          <w:b w:val="0"/>
          <w:i w:val="0"/>
          <w:sz w:val="28"/>
        </w:rPr>
        <w:t>У культурно-історичній концепції Л. С. Виготського мовлення розглядається як вища психічна функція, що формується у процесі соціальної взаємодії дитини з дорослим [2]. Зона найближчого розвитку визначає діапазон між тим, що дитина може зробити самостійно, та тим, що вона здатна досягти за допомогою дорослого, – саме в цьому просторі відбувається найінтенсивніший мовленнєвий розвиток. О. Р. Лурія поглибив цю концепцію, довівши провідну роль мовлення у регуляції поведінки та когнітивних процесів дитини [19]. О. А. Леонтьєв розглядав мовленнєву діяльність як особливий вид діяльності, що має власну мотиваційну, орієнтовну та виконавчу фази, котрі у старшодошкільному віці стають дедалі більш усвідомленими [17].</w:t>
      </w:r>
    </w:p>
    <w:p>
      <w:pPr>
        <w:ind w:firstLine="709"/>
        <w:jc w:val="both"/>
        <w:spacing w:line="360" w:lineRule="auto"/>
      </w:pPr>
      <w:r>
        <w:rPr>
          <w:rFonts w:ascii="Times New Roman" w:hAnsi="Times New Roman" w:eastAsia="Times New Roman"/>
          <w:b w:val="0"/>
          <w:i w:val="0"/>
          <w:sz w:val="28"/>
        </w:rPr>
        <w:t>На думку А. М. Богуш, до старшого дошкільного віку дитина має оволодіти достатнім рівнем усіх аспектів мовленнєвої діяльності, необхідних для повноцінного спілкування та підготовки до систематичного навчання [1]. Нормативні показники мовленнєвого розвитку дітей 5–7 років суттєво варіюються залежно від умов виховання, соціального середовища та індивідуальних особливостей. Водночас існують загальновизнані орієнтири, відповідно до яких здійснюється моніторинг та оцінка мовленнєвої готовності старших дошкільників (табл. 1.1).</w:t>
      </w:r>
    </w:p>
    <w:p>
      <w:pPr>
        <w:ind w:firstLine="0"/>
        <w:jc w:val="right"/>
        <w:spacing w:line="360" w:lineRule="auto"/>
      </w:pPr>
      <w:r>
        <w:rPr>
          <w:rFonts w:ascii="Times New Roman" w:hAnsi="Times New Roman" w:eastAsia="Times New Roman"/>
          <w:b w:val="0"/>
          <w:i w:val="0"/>
          <w:sz w:val="28"/>
        </w:rPr>
        <w:t>Таблиця 1.1</w:t>
      </w:r>
    </w:p>
    <w:p>
      <w:pPr>
        <w:ind w:firstLine="0"/>
        <w:jc w:val="center"/>
        <w:spacing w:line="360" w:lineRule="auto"/>
      </w:pPr>
      <w:r>
        <w:rPr>
          <w:rFonts w:ascii="Times New Roman" w:hAnsi="Times New Roman" w:eastAsia="Times New Roman"/>
          <w:b/>
          <w:i w:val="0"/>
          <w:sz w:val="28"/>
        </w:rPr>
        <w:t>Характеристика мовленнєвого розвитку дітей старшого дошкільного віку в нормі</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spacing w:line="360" w:lineRule="auto"/>
            </w:pPr>
            <w:r>
              <w:rPr>
                <w:rFonts w:ascii="Times New Roman" w:hAnsi="Times New Roman" w:eastAsia="Times New Roman"/>
                <w:b/>
                <w:i w:val="0"/>
                <w:sz w:val="24"/>
              </w:rPr>
              <w:t>Компонент мовлення</w:t>
            </w:r>
          </w:p>
        </w:tc>
        <w:tc>
          <w:tcPr>
            <w:tcW w:type="dxa" w:w="3213"/>
          </w:tcPr>
          <w:p>
            <w:pPr>
              <w:jc w:val="center"/>
              <w:spacing w:line="360" w:lineRule="auto"/>
            </w:pPr>
            <w:r>
              <w:rPr>
                <w:rFonts w:ascii="Times New Roman" w:hAnsi="Times New Roman" w:eastAsia="Times New Roman"/>
                <w:b/>
                <w:i w:val="0"/>
                <w:sz w:val="24"/>
              </w:rPr>
              <w:t>Діти 5–6 років</w:t>
            </w:r>
          </w:p>
        </w:tc>
        <w:tc>
          <w:tcPr>
            <w:tcW w:type="dxa" w:w="3213"/>
          </w:tcPr>
          <w:p>
            <w:pPr>
              <w:jc w:val="center"/>
              <w:spacing w:line="360" w:lineRule="auto"/>
            </w:pPr>
            <w:r>
              <w:rPr>
                <w:rFonts w:ascii="Times New Roman" w:hAnsi="Times New Roman" w:eastAsia="Times New Roman"/>
                <w:b/>
                <w:i w:val="0"/>
                <w:sz w:val="24"/>
              </w:rPr>
              <w:t>Діти 6–7 років</w:t>
            </w:r>
          </w:p>
        </w:tc>
      </w:tr>
      <w:tr>
        <w:tc>
          <w:tcPr>
            <w:tcW w:type="dxa" w:w="3213"/>
          </w:tcPr>
          <w:p>
            <w:pPr>
              <w:jc w:val="left"/>
              <w:spacing w:line="360" w:lineRule="auto"/>
            </w:pPr>
            <w:r>
              <w:rPr>
                <w:rFonts w:ascii="Times New Roman" w:hAnsi="Times New Roman" w:eastAsia="Times New Roman"/>
                <w:b w:val="0"/>
                <w:i w:val="0"/>
                <w:sz w:val="24"/>
              </w:rPr>
              <w:t>Фонетико-фонематична складова</w:t>
            </w:r>
          </w:p>
        </w:tc>
        <w:tc>
          <w:tcPr>
            <w:tcW w:type="dxa" w:w="3213"/>
          </w:tcPr>
          <w:p>
            <w:pPr>
              <w:jc w:val="left"/>
              <w:spacing w:line="360" w:lineRule="auto"/>
            </w:pPr>
            <w:r>
              <w:rPr>
                <w:rFonts w:ascii="Times New Roman" w:hAnsi="Times New Roman" w:eastAsia="Times New Roman"/>
                <w:b w:val="0"/>
                <w:i w:val="0"/>
                <w:sz w:val="24"/>
              </w:rPr>
              <w:t>Правильна вимова більшості звуків; фонематичний слух у стадії формування; допустимі окремі вікові замінення шиплячих і сонорних</w:t>
            </w:r>
          </w:p>
        </w:tc>
        <w:tc>
          <w:tcPr>
            <w:tcW w:type="dxa" w:w="3213"/>
          </w:tcPr>
          <w:p>
            <w:pPr>
              <w:jc w:val="left"/>
              <w:spacing w:line="360" w:lineRule="auto"/>
            </w:pPr>
            <w:r>
              <w:rPr>
                <w:rFonts w:ascii="Times New Roman" w:hAnsi="Times New Roman" w:eastAsia="Times New Roman"/>
                <w:b w:val="0"/>
                <w:i w:val="0"/>
                <w:sz w:val="24"/>
              </w:rPr>
              <w:t>Повна сформованість звуковимови; розвинений фонематичний слух; готовність до звукового аналізу і синтезу</w:t>
            </w:r>
          </w:p>
        </w:tc>
      </w:tr>
      <w:tr>
        <w:tc>
          <w:tcPr>
            <w:tcW w:type="dxa" w:w="3213"/>
          </w:tcPr>
          <w:p>
            <w:pPr>
              <w:jc w:val="left"/>
              <w:spacing w:line="360" w:lineRule="auto"/>
            </w:pPr>
            <w:r>
              <w:rPr>
                <w:rFonts w:ascii="Times New Roman" w:hAnsi="Times New Roman" w:eastAsia="Times New Roman"/>
                <w:b w:val="0"/>
                <w:i w:val="0"/>
                <w:sz w:val="24"/>
              </w:rPr>
              <w:t>Лексична складова</w:t>
            </w:r>
          </w:p>
        </w:tc>
        <w:tc>
          <w:tcPr>
            <w:tcW w:type="dxa" w:w="3213"/>
          </w:tcPr>
          <w:p>
            <w:pPr>
              <w:jc w:val="left"/>
              <w:spacing w:line="360" w:lineRule="auto"/>
            </w:pPr>
            <w:r>
              <w:rPr>
                <w:rFonts w:ascii="Times New Roman" w:hAnsi="Times New Roman" w:eastAsia="Times New Roman"/>
                <w:b w:val="0"/>
                <w:i w:val="0"/>
                <w:sz w:val="24"/>
              </w:rPr>
              <w:t>Активний словник 3 000–4 500 слів; розуміння переносного значення; початкове вживання синонімів</w:t>
            </w:r>
          </w:p>
        </w:tc>
        <w:tc>
          <w:tcPr>
            <w:tcW w:type="dxa" w:w="3213"/>
          </w:tcPr>
          <w:p>
            <w:pPr>
              <w:jc w:val="left"/>
              <w:spacing w:line="360" w:lineRule="auto"/>
            </w:pPr>
            <w:r>
              <w:rPr>
                <w:rFonts w:ascii="Times New Roman" w:hAnsi="Times New Roman" w:eastAsia="Times New Roman"/>
                <w:b w:val="0"/>
                <w:i w:val="0"/>
                <w:sz w:val="24"/>
              </w:rPr>
              <w:t>Активний словник 4 500–7 000 слів; вживання синонімів, антонімів, слів із переносним значенням</w:t>
            </w:r>
          </w:p>
        </w:tc>
      </w:tr>
      <w:tr>
        <w:tc>
          <w:tcPr>
            <w:tcW w:type="dxa" w:w="3213"/>
          </w:tcPr>
          <w:p>
            <w:pPr>
              <w:jc w:val="left"/>
              <w:spacing w:line="360" w:lineRule="auto"/>
            </w:pPr>
            <w:r>
              <w:rPr>
                <w:rFonts w:ascii="Times New Roman" w:hAnsi="Times New Roman" w:eastAsia="Times New Roman"/>
                <w:b w:val="0"/>
                <w:i w:val="0"/>
                <w:sz w:val="24"/>
              </w:rPr>
              <w:t>Граматична складова</w:t>
            </w:r>
          </w:p>
        </w:tc>
        <w:tc>
          <w:tcPr>
            <w:tcW w:type="dxa" w:w="3213"/>
          </w:tcPr>
          <w:p>
            <w:pPr>
              <w:jc w:val="left"/>
              <w:spacing w:line="360" w:lineRule="auto"/>
            </w:pPr>
            <w:r>
              <w:rPr>
                <w:rFonts w:ascii="Times New Roman" w:hAnsi="Times New Roman" w:eastAsia="Times New Roman"/>
                <w:b w:val="0"/>
                <w:i w:val="0"/>
                <w:sz w:val="24"/>
              </w:rPr>
              <w:t>Прості та складнопідрядні речення; засвоєння основних відмінкових форм; окремі аграматизми</w:t>
            </w:r>
          </w:p>
        </w:tc>
        <w:tc>
          <w:tcPr>
            <w:tcW w:type="dxa" w:w="3213"/>
          </w:tcPr>
          <w:p>
            <w:pPr>
              <w:jc w:val="left"/>
              <w:spacing w:line="360" w:lineRule="auto"/>
            </w:pPr>
            <w:r>
              <w:rPr>
                <w:rFonts w:ascii="Times New Roman" w:hAnsi="Times New Roman" w:eastAsia="Times New Roman"/>
                <w:b w:val="0"/>
                <w:i w:val="0"/>
                <w:sz w:val="24"/>
              </w:rPr>
              <w:t>Складносурядні і складнопідрядні речення; граматична правильність висловлювань; словотворення за аналогією</w:t>
            </w:r>
          </w:p>
        </w:tc>
      </w:tr>
      <w:tr>
        <w:tc>
          <w:tcPr>
            <w:tcW w:type="dxa" w:w="3213"/>
          </w:tcPr>
          <w:p>
            <w:pPr>
              <w:jc w:val="left"/>
              <w:spacing w:line="360" w:lineRule="auto"/>
            </w:pPr>
            <w:r>
              <w:rPr>
                <w:rFonts w:ascii="Times New Roman" w:hAnsi="Times New Roman" w:eastAsia="Times New Roman"/>
                <w:b w:val="0"/>
                <w:i w:val="0"/>
                <w:sz w:val="24"/>
              </w:rPr>
              <w:t>Зв'язне мовлення</w:t>
            </w:r>
          </w:p>
        </w:tc>
        <w:tc>
          <w:tcPr>
            <w:tcW w:type="dxa" w:w="3213"/>
          </w:tcPr>
          <w:p>
            <w:pPr>
              <w:jc w:val="left"/>
              <w:spacing w:line="360" w:lineRule="auto"/>
            </w:pPr>
            <w:r>
              <w:rPr>
                <w:rFonts w:ascii="Times New Roman" w:hAnsi="Times New Roman" w:eastAsia="Times New Roman"/>
                <w:b w:val="0"/>
                <w:i w:val="0"/>
                <w:sz w:val="24"/>
              </w:rPr>
              <w:t>Переказ з опорою на наочність; короткі ситуативні розповіді (4–6 речень)</w:t>
            </w:r>
          </w:p>
        </w:tc>
        <w:tc>
          <w:tcPr>
            <w:tcW w:type="dxa" w:w="3213"/>
          </w:tcPr>
          <w:p>
            <w:pPr>
              <w:jc w:val="left"/>
              <w:spacing w:line="360" w:lineRule="auto"/>
            </w:pPr>
            <w:r>
              <w:rPr>
                <w:rFonts w:ascii="Times New Roman" w:hAnsi="Times New Roman" w:eastAsia="Times New Roman"/>
                <w:b w:val="0"/>
                <w:i w:val="0"/>
                <w:sz w:val="24"/>
              </w:rPr>
              <w:t>Самостійна розповідь, опис, міркування без зовнішньої опори; структурована розповідь (8–12 речень)</w:t>
            </w:r>
          </w:p>
        </w:tc>
      </w:tr>
      <w:tr>
        <w:tc>
          <w:tcPr>
            <w:tcW w:type="dxa" w:w="3213"/>
          </w:tcPr>
          <w:p>
            <w:pPr>
              <w:jc w:val="left"/>
              <w:spacing w:line="360" w:lineRule="auto"/>
            </w:pPr>
            <w:r>
              <w:rPr>
                <w:rFonts w:ascii="Times New Roman" w:hAnsi="Times New Roman" w:eastAsia="Times New Roman"/>
                <w:b w:val="0"/>
                <w:i w:val="0"/>
                <w:sz w:val="24"/>
              </w:rPr>
              <w:t>Комунікативна складова</w:t>
            </w:r>
          </w:p>
        </w:tc>
        <w:tc>
          <w:tcPr>
            <w:tcW w:type="dxa" w:w="3213"/>
          </w:tcPr>
          <w:p>
            <w:pPr>
              <w:jc w:val="left"/>
              <w:spacing w:line="360" w:lineRule="auto"/>
            </w:pPr>
            <w:r>
              <w:rPr>
                <w:rFonts w:ascii="Times New Roman" w:hAnsi="Times New Roman" w:eastAsia="Times New Roman"/>
                <w:b w:val="0"/>
                <w:i w:val="0"/>
                <w:sz w:val="24"/>
              </w:rPr>
              <w:t>Ситуативне та позаситуативне спілкування; початок оволодіння діалогічним мовленням</w:t>
            </w:r>
          </w:p>
        </w:tc>
        <w:tc>
          <w:tcPr>
            <w:tcW w:type="dxa" w:w="3213"/>
          </w:tcPr>
          <w:p>
            <w:pPr>
              <w:jc w:val="left"/>
              <w:spacing w:line="360" w:lineRule="auto"/>
            </w:pPr>
            <w:r>
              <w:rPr>
                <w:rFonts w:ascii="Times New Roman" w:hAnsi="Times New Roman" w:eastAsia="Times New Roman"/>
                <w:b w:val="0"/>
                <w:i w:val="0"/>
                <w:sz w:val="24"/>
              </w:rPr>
              <w:t>Розгорнуте монологічне та діалогічне мовлення; дотримання мовленнєвого етикету</w:t>
            </w:r>
          </w:p>
        </w:tc>
      </w:tr>
    </w:tbl>
    <w:p>
      <w:pPr>
        <w:ind w:firstLine="0"/>
        <w:jc w:val="both"/>
        <w:spacing w:line="360" w:lineRule="auto"/>
      </w:pPr>
      <w:r>
        <w:rPr>
          <w:rFonts w:ascii="Times New Roman" w:hAnsi="Times New Roman" w:eastAsia="Times New Roman"/>
          <w:b w:val="0"/>
          <w:i/>
          <w:sz w:val="28"/>
        </w:rPr>
        <w:t>Джерело: складено автором на основі [1; 26; 28; 39; 41].</w:t>
      </w:r>
    </w:p>
    <w:p>
      <w:pPr>
        <w:ind w:firstLine="709"/>
        <w:jc w:val="both"/>
        <w:spacing w:line="360" w:lineRule="auto"/>
      </w:pPr>
      <w:r>
        <w:rPr>
          <w:rFonts w:ascii="Times New Roman" w:hAnsi="Times New Roman" w:eastAsia="Times New Roman"/>
          <w:b w:val="0"/>
          <w:i w:val="0"/>
          <w:sz w:val="28"/>
        </w:rPr>
        <w:t>Фонетико-фонематична складова мовлення передбачає засвоєння нормативної вимови всіх звуків рідної мови та сформованість фонематичного слуху. За нормою, до 5–6 років дитина правильно вимовляє переважну більшість звуків, допускаючи лише окремі вікові замінення; до 6–7 років фонетична система є повністю сформованою [28]. Т. Б. Філічева та Г. Р. Шашкіна наголошують, що у старших дошкільників розвивається не лише правильна вимова, а й фонематичне сприймання – здатність диференціювати схожі звуки на слух, що є ключовою передумовою успішного оволодіння грамотою [39].</w:t>
      </w:r>
    </w:p>
    <w:p>
      <w:pPr>
        <w:ind w:firstLine="709"/>
        <w:jc w:val="both"/>
        <w:spacing w:line="360" w:lineRule="auto"/>
      </w:pPr>
      <w:r>
        <w:rPr>
          <w:rFonts w:ascii="Times New Roman" w:hAnsi="Times New Roman" w:eastAsia="Times New Roman"/>
          <w:b w:val="0"/>
          <w:i w:val="0"/>
          <w:sz w:val="28"/>
        </w:rPr>
        <w:t>Лексична складова мовлення старших дошкільників характеризується значним кількісним та якісним розширенням словникового запасу. Активний словник дитини 5–6 років налічує в середньому 3 000–4 500 слів, тоді як до кінця дошкільного віку він зростає до 4 500–7 000 слів [1; 26]. Граматична правильність мовлення передбачає вживання складних речень, узгодження частин мови у роді, числі та відмінку, правильне словотворення. Зв'язне мовлення – найвищий рівень мовленнєвого розвитку – виявляється у здатності дитини будувати монологічні висловлювання різних типів: опис, розповідь, міркування, переказ. Структуру мовленнєвої компетентності старшого дошкільника схематично представлено на рис. 1.1.</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9640"/>
            <w:gridSpan w:val="5"/>
          </w:tcPr>
          <w:p>
            <w:pPr>
              <w:jc w:val="center"/>
              <w:spacing w:line="360" w:lineRule="auto"/>
            </w:pPr>
            <w:r>
              <w:rPr>
                <w:rFonts w:ascii="Times New Roman" w:hAnsi="Times New Roman" w:eastAsia="Times New Roman"/>
                <w:b/>
                <w:i w:val="0"/>
                <w:sz w:val="24"/>
              </w:rPr>
              <w:t>МОВЛЕННЄВА КОМПЕТЕНТНІСТЬ СТАРШОГО ДОШКІЛЬНИКА</w:t>
            </w:r>
          </w:p>
        </w:tc>
      </w:tr>
      <w:tr>
        <w:tc>
          <w:tcPr>
            <w:tcW w:type="dxa" w:w="1928"/>
          </w:tcPr>
          <w:p>
            <w:pPr>
              <w:jc w:val="center"/>
              <w:spacing w:line="360" w:lineRule="auto"/>
            </w:pPr>
            <w:r>
              <w:rPr>
                <w:rFonts w:ascii="Times New Roman" w:hAnsi="Times New Roman" w:eastAsia="Times New Roman"/>
                <w:b w:val="0"/>
                <w:i w:val="0"/>
                <w:sz w:val="22"/>
              </w:rPr>
              <w:t>Фонетична</w:t>
              <w:br/>
              <w:t>складова</w:t>
            </w:r>
          </w:p>
        </w:tc>
        <w:tc>
          <w:tcPr>
            <w:tcW w:type="dxa" w:w="1928"/>
          </w:tcPr>
          <w:p>
            <w:pPr>
              <w:jc w:val="center"/>
              <w:spacing w:line="360" w:lineRule="auto"/>
            </w:pPr>
            <w:r>
              <w:rPr>
                <w:rFonts w:ascii="Times New Roman" w:hAnsi="Times New Roman" w:eastAsia="Times New Roman"/>
                <w:b w:val="0"/>
                <w:i w:val="0"/>
                <w:sz w:val="22"/>
              </w:rPr>
              <w:t>Лексична</w:t>
              <w:br/>
              <w:t>складова</w:t>
            </w:r>
          </w:p>
        </w:tc>
        <w:tc>
          <w:tcPr>
            <w:tcW w:type="dxa" w:w="1928"/>
          </w:tcPr>
          <w:p>
            <w:pPr>
              <w:jc w:val="center"/>
              <w:spacing w:line="360" w:lineRule="auto"/>
            </w:pPr>
            <w:r>
              <w:rPr>
                <w:rFonts w:ascii="Times New Roman" w:hAnsi="Times New Roman" w:eastAsia="Times New Roman"/>
                <w:b w:val="0"/>
                <w:i w:val="0"/>
                <w:sz w:val="22"/>
              </w:rPr>
              <w:t>Граматична</w:t>
              <w:br/>
              <w:t>складова</w:t>
            </w:r>
          </w:p>
        </w:tc>
        <w:tc>
          <w:tcPr>
            <w:tcW w:type="dxa" w:w="1928"/>
          </w:tcPr>
          <w:p>
            <w:pPr>
              <w:jc w:val="center"/>
              <w:spacing w:line="360" w:lineRule="auto"/>
            </w:pPr>
            <w:r>
              <w:rPr>
                <w:rFonts w:ascii="Times New Roman" w:hAnsi="Times New Roman" w:eastAsia="Times New Roman"/>
                <w:b w:val="0"/>
                <w:i w:val="0"/>
                <w:sz w:val="22"/>
              </w:rPr>
              <w:t>Зв'язне</w:t>
              <w:br/>
              <w:t>мовлення</w:t>
            </w:r>
          </w:p>
        </w:tc>
        <w:tc>
          <w:tcPr>
            <w:tcW w:type="dxa" w:w="1928"/>
          </w:tcPr>
          <w:p>
            <w:pPr>
              <w:jc w:val="center"/>
              <w:spacing w:line="360" w:lineRule="auto"/>
            </w:pPr>
            <w:r>
              <w:rPr>
                <w:rFonts w:ascii="Times New Roman" w:hAnsi="Times New Roman" w:eastAsia="Times New Roman"/>
                <w:b w:val="0"/>
                <w:i w:val="0"/>
                <w:sz w:val="22"/>
              </w:rPr>
              <w:t>Комунікативна</w:t>
              <w:br/>
              <w:t>складова</w:t>
            </w:r>
          </w:p>
        </w:tc>
      </w:tr>
    </w:tbl>
    <w:p>
      <w:pPr>
        <w:ind w:firstLine="0"/>
        <w:jc w:val="center"/>
        <w:spacing w:line="360" w:lineRule="auto"/>
      </w:pPr>
      <w:r>
        <w:rPr>
          <w:rFonts w:ascii="Times New Roman" w:hAnsi="Times New Roman" w:eastAsia="Times New Roman"/>
          <w:b w:val="0"/>
          <w:i/>
          <w:sz w:val="28"/>
        </w:rPr>
        <w:t>Рис. 1.1 Структура мовленнєвої компетентності старшого дошкільника</w:t>
      </w:r>
    </w:p>
    <w:p>
      <w:pPr>
        <w:ind w:firstLine="709"/>
        <w:jc w:val="both"/>
        <w:spacing w:line="360" w:lineRule="auto"/>
      </w:pPr>
      <w:r>
        <w:rPr>
          <w:rFonts w:ascii="Times New Roman" w:hAnsi="Times New Roman" w:eastAsia="Times New Roman"/>
          <w:b w:val="0"/>
          <w:i w:val="0"/>
          <w:sz w:val="28"/>
        </w:rPr>
        <w:t>Мовленнєвий розвиток нерозривно пов'язаний із когнітивним. Л. О. Калмикова підкреслює, що формування зв'язного мовлення у дітей дошкільного віку є показником загального психічного розвитку, рівня узагальнення та абстрагування, а також розвитку уваги, пам'яті й мислення [8]. Т. О. Піроженко зазначає, що мовленнєве зростання дошкільника відбувається у нерозривній єдності з розвитком особистісної сфери, формуванням образу «Я» та соціальної компетентності [26]. Таким чином, повноцінний мовленнєвий розвиток у старшому дошкільному віці є інтегративним показником готовності дитини до школи і її загального психологічного добробуту, що в умовах кризових ситуацій набуває особливої значущості.</w:t>
      </w:r>
    </w:p>
    <w:p>
      <w:pPr>
        <w:ind w:firstLine="709"/>
        <w:jc w:val="both"/>
        <w:spacing w:line="360" w:lineRule="auto"/>
      </w:pPr>
      <w:r>
        <w:rPr>
          <w:rFonts w:ascii="Times New Roman" w:hAnsi="Times New Roman" w:eastAsia="Times New Roman"/>
          <w:b w:val="0"/>
          <w:i w:val="0"/>
          <w:sz w:val="28"/>
        </w:rPr>
        <w:t>Отже, психолінгвістичний аналіз засвідчує, що старший дошкільний вік є вирішальним етапом для формування мовленнєвої компетентності в усіх її складових. Будь-які несприятливі чинники – в тому числі пов'язані з екстремальною невизначеністю воєнного часу – здатні суттєво порушити цей процес, що визначає актуальність превентивних заходів саме у цей сенситивний період.</w:t>
      </w:r>
    </w:p>
    <w:sectPr w:rsidR="00FC693F" w:rsidRPr="0006063C" w:rsidSect="00034616">
      <w:headerReference w:type="default" r:id="rId9"/>
      <w:pgSz w:w="11906" w:h="16838"/>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