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pPr>
        <w:ind w:firstLine="0"/>
        <w:jc w:val="both"/>
        <w:spacing w:line="360" w:lineRule="auto"/>
      </w:pPr>
      <w:r>
        <w:rPr>
          <w:rFonts w:ascii="Times New Roman" w:hAnsi="Times New Roman" w:eastAsia="Times New Roman"/>
          <w:b/>
          <w:i w:val="0"/>
          <w:sz w:val="28"/>
        </w:rPr>
        <w:t>1.3. Наукові підходи до превенції труднощів мовлення в сучасній логопсихології</w:t>
      </w:r>
    </w:p>
    <w:p>
      <w:pPr>
        <w:ind w:firstLine="709"/>
        <w:jc w:val="both"/>
        <w:spacing w:line="360" w:lineRule="auto"/>
      </w:pPr>
      <w:r>
        <w:rPr>
          <w:rFonts w:ascii="Times New Roman" w:hAnsi="Times New Roman" w:eastAsia="Times New Roman"/>
          <w:b w:val="0"/>
          <w:i w:val="0"/>
          <w:sz w:val="28"/>
        </w:rPr>
        <w:t>Превенція мовленнєвих порушень є одним із пріоритетних напрямів сучасної логопедії та логопсихології. На відміну від корекційної роботи, яка 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pPr>
        <w:ind w:firstLine="709"/>
        <w:jc w:val="both"/>
        <w:spacing w:line="360" w:lineRule="auto"/>
      </w:pPr>
      <w:r>
        <w:rPr>
          <w:rFonts w:ascii="Times New Roman" w:hAnsi="Times New Roman" w:eastAsia="Times New Roman"/>
          <w:b w:val="0"/>
          <w:i w:val="0"/>
          <w:sz w:val="28"/>
        </w:rPr>
        <w:t>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сенсомоторної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заміщаючого онтогенезу»), здатних зміцнювати нейробіологічний фундамент мовленнєвої діяльності ще до появи видимих порушень [32].</w:t>
      </w:r>
    </w:p>
    <w:p>
      <w:pPr>
        <w:ind w:firstLine="709"/>
        <w:jc w:val="both"/>
        <w:spacing w:line="360" w:lineRule="auto"/>
      </w:pPr>
      <w:r>
        <w:rPr>
          <w:rFonts w:ascii="Times New Roman" w:hAnsi="Times New Roman" w:eastAsia="Times New Roman"/>
          <w:b w:val="0"/>
          <w:i w:val="0"/>
          <w:sz w:val="28"/>
        </w:rPr>
        <w:t>Комунікативно-діяльнісний підхід, що розвивається у працях А. М. Богуш, Т. О. Піроженко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pPr>
        <w:ind w:firstLine="709"/>
        <w:jc w:val="both"/>
        <w:spacing w:line="360" w:lineRule="auto"/>
      </w:pPr>
      <w:r>
        <w:rPr>
          <w:rFonts w:ascii="Times New Roman" w:hAnsi="Times New Roman" w:eastAsia="Times New Roman"/>
          <w:b w:val="0"/>
          <w:i w:val="0"/>
          <w:sz w:val="28"/>
        </w:rPr>
        <w:t>Психотерапевтично-орієнтований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казкотерапії, ігрової терапії та тілесно-орієнтованої психотерапії. І. А. Пінчук і К. Л. Мілютіна наголошують, що в умовах психотравматичного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pPr>
        <w:ind w:firstLine="0"/>
        <w:jc w:val="right"/>
        <w:spacing w:line="360" w:lineRule="auto"/>
      </w:pPr>
      <w:r>
        <w:rPr>
          <w:rFonts w:ascii="Times New Roman" w:hAnsi="Times New Roman" w:eastAsia="Times New Roman"/>
          <w:b w:val="0"/>
          <w:i w:val="0"/>
          <w:sz w:val="28"/>
        </w:rPr>
        <w:t>Таблиця 1.3</w:t>
      </w:r>
    </w:p>
    <w:p>
      <w:pPr>
        <w:ind w:firstLine="0"/>
        <w:jc w:val="center"/>
        <w:spacing w:line="360" w:lineRule="auto"/>
      </w:pPr>
      <w:r>
        <w:rPr>
          <w:rFonts w:ascii="Times New Roman" w:hAnsi="Times New Roman" w:eastAsia="Times New Roman"/>
          <w:b/>
          <w:i w:val="0"/>
          <w:sz w:val="28"/>
        </w:rPr>
        <w:t>Порівняльний аналіз наукових підходів до превенції труднощів мовлення в логопсихології</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Підхід</w:t>
            </w:r>
          </w:p>
        </w:tc>
        <w:tc>
          <w:tcPr>
            <w:tcW w:type="dxa" w:w="2410"/>
          </w:tcPr>
          <w:p>
            <w:pPr>
              <w:jc w:val="center"/>
              <w:spacing w:line="360" w:lineRule="auto"/>
            </w:pPr>
            <w:r>
              <w:rPr>
                <w:rFonts w:ascii="Times New Roman" w:hAnsi="Times New Roman" w:eastAsia="Times New Roman"/>
                <w:b/>
                <w:i w:val="0"/>
                <w:sz w:val="24"/>
              </w:rPr>
              <w:t>Представники</w:t>
            </w:r>
          </w:p>
        </w:tc>
        <w:tc>
          <w:tcPr>
            <w:tcW w:type="dxa" w:w="2410"/>
          </w:tcPr>
          <w:p>
            <w:pPr>
              <w:jc w:val="center"/>
              <w:spacing w:line="360" w:lineRule="auto"/>
            </w:pPr>
            <w:r>
              <w:rPr>
                <w:rFonts w:ascii="Times New Roman" w:hAnsi="Times New Roman" w:eastAsia="Times New Roman"/>
                <w:b/>
                <w:i w:val="0"/>
                <w:sz w:val="24"/>
              </w:rPr>
              <w:t>Ключові принципи</w:t>
            </w:r>
          </w:p>
        </w:tc>
        <w:tc>
          <w:tcPr>
            <w:tcW w:type="dxa" w:w="2410"/>
          </w:tcPr>
          <w:p>
            <w:pPr>
              <w:jc w:val="center"/>
              <w:spacing w:line="360" w:lineRule="auto"/>
            </w:pPr>
            <w:r>
              <w:rPr>
                <w:rFonts w:ascii="Times New Roman" w:hAnsi="Times New Roman" w:eastAsia="Times New Roman"/>
                <w:b/>
                <w:i w:val="0"/>
                <w:sz w:val="24"/>
              </w:rPr>
              <w:t>Методи і форми роботи</w:t>
            </w:r>
          </w:p>
        </w:tc>
      </w:tr>
      <w:tr>
        <w:tc>
          <w:tcPr>
            <w:tcW w:type="dxa" w:w="2410"/>
          </w:tcPr>
          <w:p>
            <w:pPr>
              <w:jc w:val="left"/>
              <w:spacing w:line="360" w:lineRule="auto"/>
            </w:pPr>
            <w:r>
              <w:rPr>
                <w:rFonts w:ascii="Times New Roman" w:hAnsi="Times New Roman" w:eastAsia="Times New Roman"/>
                <w:b w:val="0"/>
                <w:i w:val="0"/>
                <w:sz w:val="24"/>
              </w:rPr>
              <w:t>Нейропсихо-</w:t>
              <w:br/>
              <w:t>логічний</w:t>
            </w:r>
          </w:p>
        </w:tc>
        <w:tc>
          <w:tcPr>
            <w:tcW w:type="dxa" w:w="2410"/>
          </w:tcPr>
          <w:p>
            <w:pPr>
              <w:jc w:val="left"/>
              <w:spacing w:line="360" w:lineRule="auto"/>
            </w:pPr>
            <w:r>
              <w:rPr>
                <w:rFonts w:ascii="Times New Roman" w:hAnsi="Times New Roman" w:eastAsia="Times New Roman"/>
                <w:b w:val="0"/>
                <w:i w:val="0"/>
                <w:sz w:val="24"/>
              </w:rPr>
              <w:t>О. Р. Лурія,</w:t>
              <w:br/>
              <w:t>А. В. Семенович</w:t>
            </w:r>
          </w:p>
        </w:tc>
        <w:tc>
          <w:tcPr>
            <w:tcW w:type="dxa" w:w="2410"/>
          </w:tcPr>
          <w:p>
            <w:pPr>
              <w:jc w:val="left"/>
              <w:spacing w:line="360" w:lineRule="auto"/>
            </w:pPr>
            <w:r>
              <w:rPr>
                <w:rFonts w:ascii="Times New Roman" w:hAnsi="Times New Roman" w:eastAsia="Times New Roman"/>
                <w:b w:val="0"/>
                <w:i w:val="0"/>
                <w:sz w:val="24"/>
              </w:rPr>
              <w:t>Стимуляція базових нейропсихо-логічних функцій; принцип заміщаючого онтогенезу</w:t>
            </w:r>
          </w:p>
        </w:tc>
        <w:tc>
          <w:tcPr>
            <w:tcW w:type="dxa" w:w="2410"/>
          </w:tcPr>
          <w:p>
            <w:pPr>
              <w:jc w:val="left"/>
              <w:spacing w:line="360" w:lineRule="auto"/>
            </w:pPr>
            <w:r>
              <w:rPr>
                <w:rFonts w:ascii="Times New Roman" w:hAnsi="Times New Roman" w:eastAsia="Times New Roman"/>
                <w:b w:val="0"/>
                <w:i w:val="0"/>
                <w:sz w:val="24"/>
              </w:rPr>
              <w:t>Тілесно-орієнтовані вправи; сенсорна інтеграція; ритміко-рухові техніки</w:t>
            </w:r>
          </w:p>
        </w:tc>
      </w:tr>
      <w:tr>
        <w:tc>
          <w:tcPr>
            <w:tcW w:type="dxa" w:w="2410"/>
          </w:tcPr>
          <w:p>
            <w:pPr>
              <w:jc w:val="left"/>
              <w:spacing w:line="360" w:lineRule="auto"/>
            </w:pPr>
            <w:r>
              <w:rPr>
                <w:rFonts w:ascii="Times New Roman" w:hAnsi="Times New Roman" w:eastAsia="Times New Roman"/>
                <w:b w:val="0"/>
                <w:i w:val="0"/>
                <w:sz w:val="24"/>
              </w:rPr>
              <w:t>Комунікативно-</w:t>
              <w:br/>
              <w:t>діяльнісний</w:t>
            </w:r>
          </w:p>
        </w:tc>
        <w:tc>
          <w:tcPr>
            <w:tcW w:type="dxa" w:w="2410"/>
          </w:tcPr>
          <w:p>
            <w:pPr>
              <w:jc w:val="left"/>
              <w:spacing w:line="360" w:lineRule="auto"/>
            </w:pPr>
            <w:r>
              <w:rPr>
                <w:rFonts w:ascii="Times New Roman" w:hAnsi="Times New Roman" w:eastAsia="Times New Roman"/>
                <w:b w:val="0"/>
                <w:i w:val="0"/>
                <w:sz w:val="24"/>
              </w:rPr>
              <w:t>А. М. Богуш,</w:t>
              <w:br/>
              <w:t>Т. О. Піроженко,</w:t>
              <w:br/>
              <w:t>М. К. Шеремет</w:t>
            </w:r>
          </w:p>
        </w:tc>
        <w:tc>
          <w:tcPr>
            <w:tcW w:type="dxa" w:w="2410"/>
          </w:tcPr>
          <w:p>
            <w:pPr>
              <w:jc w:val="left"/>
              <w:spacing w:line="360" w:lineRule="auto"/>
            </w:pPr>
            <w:r>
              <w:rPr>
                <w:rFonts w:ascii="Times New Roman" w:hAnsi="Times New Roman" w:eastAsia="Times New Roman"/>
                <w:b w:val="0"/>
                <w:i w:val="0"/>
                <w:sz w:val="24"/>
              </w:rPr>
              <w:t>Мовлення як діяльність; пріоритет спілкування; зона найближчого розвитку</w:t>
            </w:r>
          </w:p>
        </w:tc>
        <w:tc>
          <w:tcPr>
            <w:tcW w:type="dxa" w:w="2410"/>
          </w:tcPr>
          <w:p>
            <w:pPr>
              <w:jc w:val="left"/>
              <w:spacing w:line="360" w:lineRule="auto"/>
            </w:pPr>
            <w:r>
              <w:rPr>
                <w:rFonts w:ascii="Times New Roman" w:hAnsi="Times New Roman" w:eastAsia="Times New Roman"/>
                <w:b w:val="0"/>
                <w:i w:val="0"/>
                <w:sz w:val="24"/>
              </w:rPr>
              <w:t>Партнерська взаємодія; сюжетно-рольові ігри; розвивальне середовище</w:t>
            </w:r>
          </w:p>
        </w:tc>
      </w:tr>
      <w:tr>
        <w:tc>
          <w:tcPr>
            <w:tcW w:type="dxa" w:w="2410"/>
          </w:tcPr>
          <w:p>
            <w:pPr>
              <w:jc w:val="left"/>
              <w:spacing w:line="360" w:lineRule="auto"/>
            </w:pPr>
            <w:r>
              <w:rPr>
                <w:rFonts w:ascii="Times New Roman" w:hAnsi="Times New Roman" w:eastAsia="Times New Roman"/>
                <w:b w:val="0"/>
                <w:i w:val="0"/>
                <w:sz w:val="24"/>
              </w:rPr>
              <w:t>Психотерапевтично-</w:t>
              <w:br/>
              <w:t>орієнтований</w:t>
            </w:r>
          </w:p>
        </w:tc>
        <w:tc>
          <w:tcPr>
            <w:tcW w:type="dxa" w:w="2410"/>
          </w:tcPr>
          <w:p>
            <w:pPr>
              <w:jc w:val="left"/>
              <w:spacing w:line="360" w:lineRule="auto"/>
            </w:pPr>
            <w:r>
              <w:rPr>
                <w:rFonts w:ascii="Times New Roman" w:hAnsi="Times New Roman" w:eastAsia="Times New Roman"/>
                <w:b w:val="0"/>
                <w:i w:val="0"/>
                <w:sz w:val="24"/>
              </w:rPr>
              <w:t>К. Л. Мілютіна,</w:t>
              <w:br/>
              <w:t>І. А. Пінчук</w:t>
            </w:r>
          </w:p>
        </w:tc>
        <w:tc>
          <w:tcPr>
            <w:tcW w:type="dxa" w:w="2410"/>
          </w:tcPr>
          <w:p>
            <w:pPr>
              <w:jc w:val="left"/>
              <w:spacing w:line="360" w:lineRule="auto"/>
            </w:pPr>
            <w:r>
              <w:rPr>
                <w:rFonts w:ascii="Times New Roman" w:hAnsi="Times New Roman" w:eastAsia="Times New Roman"/>
                <w:b w:val="0"/>
                <w:i w:val="0"/>
                <w:sz w:val="24"/>
              </w:rPr>
              <w:t>Єдність емоційного і мовленнєвого розвитку; стабілізація психоемоційного стану</w:t>
            </w:r>
          </w:p>
        </w:tc>
        <w:tc>
          <w:tcPr>
            <w:tcW w:type="dxa" w:w="2410"/>
          </w:tcPr>
          <w:p>
            <w:pPr>
              <w:jc w:val="left"/>
              <w:spacing w:line="360" w:lineRule="auto"/>
            </w:pPr>
            <w:r>
              <w:rPr>
                <w:rFonts w:ascii="Times New Roman" w:hAnsi="Times New Roman" w:eastAsia="Times New Roman"/>
                <w:b w:val="0"/>
                <w:i w:val="0"/>
                <w:sz w:val="24"/>
              </w:rPr>
              <w:t>Арт-терапія; казкотерапія; ігрова терапія; тілесна психотерапія</w:t>
            </w:r>
          </w:p>
        </w:tc>
      </w:tr>
      <w:tr>
        <w:tc>
          <w:tcPr>
            <w:tcW w:type="dxa" w:w="2410"/>
          </w:tcPr>
          <w:p>
            <w:pPr>
              <w:jc w:val="left"/>
              <w:spacing w:line="360" w:lineRule="auto"/>
            </w:pPr>
            <w:r>
              <w:rPr>
                <w:rFonts w:ascii="Times New Roman" w:hAnsi="Times New Roman" w:eastAsia="Times New Roman"/>
                <w:b w:val="0"/>
                <w:i w:val="0"/>
                <w:sz w:val="24"/>
              </w:rPr>
              <w:t>Системно-</w:t>
              <w:br/>
              <w:t>превентивний</w:t>
            </w:r>
          </w:p>
        </w:tc>
        <w:tc>
          <w:tcPr>
            <w:tcW w:type="dxa" w:w="2410"/>
          </w:tcPr>
          <w:p>
            <w:pPr>
              <w:jc w:val="left"/>
              <w:spacing w:line="360" w:lineRule="auto"/>
            </w:pPr>
            <w:r>
              <w:rPr>
                <w:rFonts w:ascii="Times New Roman" w:hAnsi="Times New Roman" w:eastAsia="Times New Roman"/>
                <w:b w:val="0"/>
                <w:i w:val="0"/>
                <w:sz w:val="24"/>
              </w:rPr>
              <w:t>В. В. Тарасун,</w:t>
              <w:br/>
              <w:t>О. В. Мартинчук</w:t>
            </w:r>
          </w:p>
        </w:tc>
        <w:tc>
          <w:tcPr>
            <w:tcW w:type="dxa" w:w="2410"/>
          </w:tcPr>
          <w:p>
            <w:pPr>
              <w:jc w:val="left"/>
              <w:spacing w:line="360" w:lineRule="auto"/>
            </w:pPr>
            <w:r>
              <w:rPr>
                <w:rFonts w:ascii="Times New Roman" w:hAnsi="Times New Roman" w:eastAsia="Times New Roman"/>
                <w:b w:val="0"/>
                <w:i w:val="0"/>
                <w:sz w:val="24"/>
              </w:rPr>
              <w:t>Комплексність впливу; міждисциплінарна взаємодія; раннє виявлення ризиків</w:t>
            </w:r>
          </w:p>
        </w:tc>
        <w:tc>
          <w:tcPr>
            <w:tcW w:type="dxa" w:w="2410"/>
          </w:tcPr>
          <w:p>
            <w:pPr>
              <w:jc w:val="left"/>
              <w:spacing w:line="360" w:lineRule="auto"/>
            </w:pPr>
            <w:r>
              <w:rPr>
                <w:rFonts w:ascii="Times New Roman" w:hAnsi="Times New Roman" w:eastAsia="Times New Roman"/>
                <w:b w:val="0"/>
                <w:i w:val="0"/>
                <w:sz w:val="24"/>
              </w:rPr>
              <w:t>Скринінгова діагностика; ІПРП; командний супровід; батьківська освіта</w:t>
            </w:r>
          </w:p>
        </w:tc>
      </w:tr>
      <w:tr>
        <w:tc>
          <w:tcPr>
            <w:tcW w:type="dxa" w:w="2410"/>
          </w:tcPr>
          <w:p>
            <w:pPr>
              <w:jc w:val="left"/>
              <w:spacing w:line="360" w:lineRule="auto"/>
            </w:pPr>
            <w:r>
              <w:rPr>
                <w:rFonts w:ascii="Times New Roman" w:hAnsi="Times New Roman" w:eastAsia="Times New Roman"/>
                <w:b w:val="0"/>
                <w:i w:val="0"/>
                <w:sz w:val="24"/>
              </w:rPr>
              <w:t>Еколого-</w:t>
              <w:br/>
              <w:t>середовищний</w:t>
            </w:r>
          </w:p>
        </w:tc>
        <w:tc>
          <w:tcPr>
            <w:tcW w:type="dxa" w:w="2410"/>
          </w:tcPr>
          <w:p>
            <w:pPr>
              <w:jc w:val="left"/>
              <w:spacing w:line="360" w:lineRule="auto"/>
            </w:pPr>
            <w:r>
              <w:rPr>
                <w:rFonts w:ascii="Times New Roman" w:hAnsi="Times New Roman" w:eastAsia="Times New Roman"/>
                <w:b w:val="0"/>
                <w:i w:val="0"/>
                <w:sz w:val="24"/>
              </w:rPr>
              <w:t>Л. І. Прохоренко,</w:t>
              <w:br/>
              <w:t>Т. І. Поніманська</w:t>
            </w:r>
          </w:p>
        </w:tc>
        <w:tc>
          <w:tcPr>
            <w:tcW w:type="dxa" w:w="2410"/>
          </w:tcPr>
          <w:p>
            <w:pPr>
              <w:jc w:val="left"/>
              <w:spacing w:line="360" w:lineRule="auto"/>
            </w:pPr>
            <w:r>
              <w:rPr>
                <w:rFonts w:ascii="Times New Roman" w:hAnsi="Times New Roman" w:eastAsia="Times New Roman"/>
                <w:b w:val="0"/>
                <w:i w:val="0"/>
                <w:sz w:val="24"/>
              </w:rPr>
              <w:t>Середовище як чинник розвитку; адаптація простору до потреб дитини</w:t>
            </w:r>
          </w:p>
        </w:tc>
        <w:tc>
          <w:tcPr>
            <w:tcW w:type="dxa" w:w="2410"/>
          </w:tcPr>
          <w:p>
            <w:pPr>
              <w:jc w:val="left"/>
              <w:spacing w:line="360" w:lineRule="auto"/>
            </w:pPr>
            <w:r>
              <w:rPr>
                <w:rFonts w:ascii="Times New Roman" w:hAnsi="Times New Roman" w:eastAsia="Times New Roman"/>
                <w:b w:val="0"/>
                <w:i w:val="0"/>
                <w:sz w:val="24"/>
              </w:rPr>
              <w:t>Проектування розвивального середовища; сенсорні кімнати; логопедичні куточки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4; 10; 20; 26; 27; 32; 36; 44].</w:t>
      </w:r>
    </w:p>
    <w:p>
      <w:pPr>
        <w:ind w:firstLine="709"/>
        <w:jc w:val="both"/>
        <w:spacing w:line="360" w:lineRule="auto"/>
      </w:pPr>
      <w:r>
        <w:rPr>
          <w:rFonts w:ascii="Times New Roman" w:hAnsi="Times New Roman" w:eastAsia="Times New Roman"/>
          <w:b w:val="0"/>
          <w:i w:val="0"/>
          <w:sz w:val="28"/>
        </w:rPr>
        <w:t>Системно-превентивний підхід, розроблений у працях В. В. Тарасун та О. В. Мартинчук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скринінгової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pPr>
        <w:ind w:firstLine="709"/>
        <w:jc w:val="both"/>
        <w:spacing w:line="360" w:lineRule="auto"/>
      </w:pPr>
      <w:r>
        <w:rPr>
          <w:rFonts w:ascii="Times New Roman" w:hAnsi="Times New Roman" w:eastAsia="Times New Roman"/>
          <w:b w:val="0"/>
          <w:i w:val="0"/>
          <w:sz w:val="28"/>
        </w:rPr>
        <w:t>Еколого-середовищний підхід Л. І. Прохоренко та Т. І. Поніманської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2"/>
              </w:rPr>
              <w:t>ІНТЕГРОВАНА СИСТЕМА ПРЕВЕНЦІЇ МОВЛЕННЄВИХ ТРУДНОЩІВ В УМОВАХ ЕКСТРЕМАЛЬНОЇ НЕВИЗНАЧЕНОСТІ</w:t>
            </w:r>
          </w:p>
        </w:tc>
      </w:tr>
      <w:tr>
        <w:tc>
          <w:tcPr>
            <w:tcW w:type="dxa" w:w="1928"/>
          </w:tcPr>
          <w:p>
            <w:pPr>
              <w:jc w:val="center"/>
              <w:spacing w:line="360" w:lineRule="auto"/>
            </w:pPr>
            <w:r>
              <w:rPr>
                <w:rFonts w:ascii="Times New Roman" w:hAnsi="Times New Roman" w:eastAsia="Times New Roman"/>
                <w:b w:val="0"/>
                <w:i w:val="0"/>
                <w:sz w:val="20"/>
              </w:rPr>
              <w:t>Нейропсихо-</w:t>
              <w:br/>
              <w:t>логічний</w:t>
              <w:br/>
              <w:t>підхід</w:t>
            </w:r>
          </w:p>
        </w:tc>
        <w:tc>
          <w:tcPr>
            <w:tcW w:type="dxa" w:w="1928"/>
          </w:tcPr>
          <w:p>
            <w:pPr>
              <w:jc w:val="center"/>
              <w:spacing w:line="360" w:lineRule="auto"/>
            </w:pPr>
            <w:r>
              <w:rPr>
                <w:rFonts w:ascii="Times New Roman" w:hAnsi="Times New Roman" w:eastAsia="Times New Roman"/>
                <w:b w:val="0"/>
                <w:i w:val="0"/>
                <w:sz w:val="20"/>
              </w:rPr>
              <w:t>Комунікативно-</w:t>
              <w:br/>
              <w:t>діяльнісний</w:t>
              <w:br/>
              <w:t>підхід</w:t>
            </w:r>
          </w:p>
        </w:tc>
        <w:tc>
          <w:tcPr>
            <w:tcW w:type="dxa" w:w="1928"/>
          </w:tcPr>
          <w:p>
            <w:pPr>
              <w:jc w:val="center"/>
              <w:spacing w:line="360" w:lineRule="auto"/>
            </w:pPr>
            <w:r>
              <w:rPr>
                <w:rFonts w:ascii="Times New Roman" w:hAnsi="Times New Roman" w:eastAsia="Times New Roman"/>
                <w:b w:val="0"/>
                <w:i w:val="0"/>
                <w:sz w:val="20"/>
              </w:rPr>
              <w:t>Психотерапев-</w:t>
              <w:br/>
              <w:t>тично-</w:t>
              <w:br/>
              <w:t>орієнтований</w:t>
            </w:r>
          </w:p>
        </w:tc>
        <w:tc>
          <w:tcPr>
            <w:tcW w:type="dxa" w:w="1928"/>
          </w:tcPr>
          <w:p>
            <w:pPr>
              <w:jc w:val="center"/>
              <w:spacing w:line="360" w:lineRule="auto"/>
            </w:pPr>
            <w:r>
              <w:rPr>
                <w:rFonts w:ascii="Times New Roman" w:hAnsi="Times New Roman" w:eastAsia="Times New Roman"/>
                <w:b w:val="0"/>
                <w:i w:val="0"/>
                <w:sz w:val="20"/>
              </w:rPr>
              <w:t>Системно-</w:t>
              <w:br/>
              <w:t>превентив-</w:t>
              <w:br/>
              <w:t>ний підхід</w:t>
            </w:r>
          </w:p>
        </w:tc>
        <w:tc>
          <w:tcPr>
            <w:tcW w:type="dxa" w:w="1928"/>
          </w:tcPr>
          <w:p>
            <w:pPr>
              <w:jc w:val="center"/>
              <w:spacing w:line="360" w:lineRule="auto"/>
            </w:pPr>
            <w:r>
              <w:rPr>
                <w:rFonts w:ascii="Times New Roman" w:hAnsi="Times New Roman" w:eastAsia="Times New Roman"/>
                <w:b w:val="0"/>
                <w:i w:val="0"/>
                <w:sz w:val="20"/>
              </w:rPr>
              <w:t>Еколого-</w:t>
              <w:br/>
              <w:t>середо-</w:t>
              <w:br/>
              <w:t>вищний</w:t>
            </w:r>
          </w:p>
        </w:tc>
      </w:tr>
      <w:tr>
        <w:tc>
          <w:tcPr>
            <w:tcW w:type="dxa" w:w="9640"/>
            <w:gridSpan w:val="5"/>
          </w:tcPr>
          <w:p>
            <w:pPr>
              <w:jc w:val="center"/>
              <w:spacing w:line="360" w:lineRule="auto"/>
            </w:pPr>
            <w:r>
              <w:rPr>
                <w:rFonts w:ascii="Times New Roman" w:hAnsi="Times New Roman" w:eastAsia="Times New Roman"/>
                <w:b/>
                <w:i w:val="0"/>
                <w:sz w:val="22"/>
              </w:rPr>
              <w:t>РЕЗУЛЬТАТ: попередження мовленнєвих порушень, збереження мовленнєвої компетентності дошкільника</w:t>
            </w:r>
          </w:p>
        </w:tc>
      </w:tr>
    </w:tbl>
    <w:p>
      <w:pPr>
        <w:ind w:firstLine="0"/>
        <w:jc w:val="center"/>
        <w:spacing w:line="360" w:lineRule="auto"/>
      </w:pPr>
      <w:r>
        <w:rPr>
          <w:rFonts w:ascii="Times New Roman" w:hAnsi="Times New Roman" w:eastAsia="Times New Roman"/>
          <w:b w:val="0"/>
          <w:i/>
          <w:sz w:val="28"/>
        </w:rPr>
        <w:t>Рис. 1.3 Інтеграція наукових підходів у системі превенції мовленнєвих труднощів у дітей в умовах екстремальної невизначеності</w:t>
      </w:r>
    </w:p>
    <w:p>
      <w:pPr>
        <w:ind w:firstLine="709"/>
        <w:jc w:val="both"/>
        <w:spacing w:line="360" w:lineRule="auto"/>
      </w:pPr>
      <w:r>
        <w:rPr>
          <w:rFonts w:ascii="Times New Roman" w:hAnsi="Times New Roman" w:eastAsia="Times New Roman"/>
          <w:b w:val="0"/>
          <w:i w:val="0"/>
          <w:sz w:val="28"/>
        </w:rPr>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еколого-середовищного підходів. Така інтеграція забезпечує вплив на всі рівні ризику – нейробіологічний,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p>
    <w:p>
      <w:pPr>
        <w:ind w:firstLine="0"/>
        <w:jc w:val="both"/>
        <w:spacing w:line="360" w:lineRule="auto"/>
      </w:pPr>
      <w:r>
        <w:rPr>
          <w:rFonts w:ascii="Times New Roman" w:hAnsi="Times New Roman" w:eastAsia="Times New Roman"/>
          <w:b/>
          <w:i w:val="0"/>
          <w:sz w:val="28"/>
        </w:rPr>
        <w:t>2.1. Моніторинг стану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Ефективна превентивна робота з дітьми в умовах екстремальної невизначеності неможлива без систематичного моніторингу їхнього мовленнєвого та загального психічного стану. Моніторинг у цьому контексті розуміється як регулярна, цілеспрямована система збору, аналізу та інтерпретації даних про розвиток дитини з метою своєчасного виявлення ризиків і коригування педагогічного впливу [7]. На відміну від одноразової діагностики, моніторинг передбачає динамічне спостереження у часі, що є особливо важливим в умовах нестабільного середовища, коли стан дитини може швидко змінюватися під впливом нових стрес-факторів.</w:t>
      </w:r>
    </w:p>
    <w:p>
      <w:pPr>
        <w:ind w:firstLine="709"/>
        <w:jc w:val="both"/>
        <w:spacing w:line="360" w:lineRule="auto"/>
      </w:pPr>
      <w:r>
        <w:rPr>
          <w:rFonts w:ascii="Times New Roman" w:hAnsi="Times New Roman" w:eastAsia="Times New Roman"/>
          <w:b w:val="0"/>
          <w:i w:val="0"/>
          <w:sz w:val="28"/>
        </w:rPr>
        <w:t>В умовах воєнного стану традиційні діагностичні процедури суттєво ускладнюються: частина дітей перебуває в евакуації або дистанційному режимі навчання, значна кількість пережила гостру психотравму і може відмовлятися від участі у стандартних обстеженнях, а самі педагоги нерідко не мають достатньої підготовки для проведення скринінгу в кризових умовах [13; 21]. Тому принципи кризового моніторингу мають відрізнятися від звичайних: пріоритет «м'якого» спостереження над формалізованим тестуванням, опора на природні ситуації спілкування, обов'язкове залучення батьків як джерела інформації та активних учасників спостереження [3].</w:t>
      </w:r>
    </w:p>
    <w:p>
      <w:pPr>
        <w:ind w:firstLine="709"/>
        <w:jc w:val="both"/>
        <w:spacing w:line="360" w:lineRule="auto"/>
      </w:pPr>
      <w:r>
        <w:rPr>
          <w:rFonts w:ascii="Times New Roman" w:hAnsi="Times New Roman" w:eastAsia="Times New Roman"/>
          <w:b w:val="0"/>
          <w:i w:val="0"/>
          <w:sz w:val="28"/>
        </w:rPr>
        <w:t>Мовленнєвий моніторинг у кризових умовах охоплює як власне мовленнєві, так і немовленнєві процеси, що слугують підґрунтям для мовленнєвої діяльності. До мовленнєвих параметрів належать: стан звуковимови, обсяг активного та пасивного словника, граматична правильність мовлення, рівень розвитку зв'язного мовлення, комунікативна ініціативність. Немовленнєві параметри включають: стан довільної уваги та пам'яті, рівень розвитку дрібної моторики, сформованість просторово-часових уявлень, емоційний стан та поведінкові реакції, характер взаємодії з однолітками та дорослими [7; 16; 38]. Зміст комплексного моніторингу мовленнєвих і немовленнєвих процесів систематизовано в таблиці 2.1.</w:t>
      </w:r>
    </w:p>
    <w:p>
      <w:pPr>
        <w:ind w:firstLine="0"/>
        <w:jc w:val="right"/>
        <w:spacing w:line="360" w:lineRule="auto"/>
      </w:pPr>
      <w:r>
        <w:rPr>
          <w:rFonts w:ascii="Times New Roman" w:hAnsi="Times New Roman" w:eastAsia="Times New Roman"/>
          <w:b w:val="0"/>
          <w:i w:val="0"/>
          <w:sz w:val="28"/>
        </w:rPr>
        <w:t>Таблиця 2.1</w:t>
      </w:r>
    </w:p>
    <w:p>
      <w:pPr>
        <w:ind w:firstLine="0"/>
        <w:jc w:val="center"/>
        <w:spacing w:line="360" w:lineRule="auto"/>
      </w:pPr>
      <w:r>
        <w:rPr>
          <w:rFonts w:ascii="Times New Roman" w:hAnsi="Times New Roman" w:eastAsia="Times New Roman"/>
          <w:b/>
          <w:i w:val="0"/>
          <w:sz w:val="28"/>
        </w:rPr>
        <w:t>Параметри комплексного моніторингу мовленнєвого розвитку дітей старшого дошкільного віку в кризових умовах</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w:t>
            </w:r>
          </w:p>
        </w:tc>
        <w:tc>
          <w:tcPr>
            <w:tcW w:type="dxa" w:w="2410"/>
          </w:tcPr>
          <w:p>
            <w:pPr>
              <w:jc w:val="center"/>
              <w:spacing w:line="360" w:lineRule="auto"/>
            </w:pPr>
            <w:r>
              <w:rPr>
                <w:rFonts w:ascii="Times New Roman" w:hAnsi="Times New Roman" w:eastAsia="Times New Roman"/>
                <w:b/>
                <w:i w:val="0"/>
                <w:sz w:val="24"/>
              </w:rPr>
              <w:t>Параметр</w:t>
            </w:r>
          </w:p>
        </w:tc>
        <w:tc>
          <w:tcPr>
            <w:tcW w:type="dxa" w:w="2410"/>
          </w:tcPr>
          <w:p>
            <w:pPr>
              <w:jc w:val="center"/>
              <w:spacing w:line="360" w:lineRule="auto"/>
            </w:pPr>
            <w:r>
              <w:rPr>
                <w:rFonts w:ascii="Times New Roman" w:hAnsi="Times New Roman" w:eastAsia="Times New Roman"/>
                <w:b/>
                <w:i w:val="0"/>
                <w:sz w:val="24"/>
              </w:rPr>
              <w:t>Метод виявлення</w:t>
            </w:r>
          </w:p>
        </w:tc>
        <w:tc>
          <w:tcPr>
            <w:tcW w:type="dxa" w:w="2410"/>
          </w:tcPr>
          <w:p>
            <w:pPr>
              <w:jc w:val="center"/>
              <w:spacing w:line="360" w:lineRule="auto"/>
            </w:pPr>
            <w:r>
              <w:rPr>
                <w:rFonts w:ascii="Times New Roman" w:hAnsi="Times New Roman" w:eastAsia="Times New Roman"/>
                <w:b/>
                <w:i w:val="0"/>
                <w:sz w:val="24"/>
              </w:rPr>
              <w:t>Сигнали ризику</w:t>
            </w:r>
          </w:p>
        </w:tc>
      </w:tr>
      <w:tr>
        <w:tc>
          <w:tcPr>
            <w:tcW w:type="dxa" w:w="2410"/>
          </w:tcPr>
          <w:p>
            <w:pPr>
              <w:jc w:val="left"/>
              <w:spacing w:line="360" w:lineRule="auto"/>
            </w:pPr>
            <w:r>
              <w:rPr>
                <w:rFonts w:ascii="Times New Roman" w:hAnsi="Times New Roman" w:eastAsia="Times New Roman"/>
                <w:b w:val="0"/>
                <w:i w:val="0"/>
                <w:sz w:val="24"/>
              </w:rPr>
              <w:t>Фонетико-</w:t>
              <w:br/>
              <w:t>фонематичний</w:t>
            </w:r>
          </w:p>
        </w:tc>
        <w:tc>
          <w:tcPr>
            <w:tcW w:type="dxa" w:w="2410"/>
          </w:tcPr>
          <w:p>
            <w:pPr>
              <w:jc w:val="left"/>
              <w:spacing w:line="360" w:lineRule="auto"/>
            </w:pPr>
            <w:r>
              <w:rPr>
                <w:rFonts w:ascii="Times New Roman" w:hAnsi="Times New Roman" w:eastAsia="Times New Roman"/>
                <w:b w:val="0"/>
                <w:i w:val="0"/>
                <w:sz w:val="24"/>
              </w:rPr>
              <w:t>Звуковимова; фонематичний слух</w:t>
            </w:r>
          </w:p>
        </w:tc>
        <w:tc>
          <w:tcPr>
            <w:tcW w:type="dxa" w:w="2410"/>
          </w:tcPr>
          <w:p>
            <w:pPr>
              <w:jc w:val="left"/>
              <w:spacing w:line="360" w:lineRule="auto"/>
            </w:pPr>
            <w:r>
              <w:rPr>
                <w:rFonts w:ascii="Times New Roman" w:hAnsi="Times New Roman" w:eastAsia="Times New Roman"/>
                <w:b w:val="0"/>
                <w:i w:val="0"/>
                <w:sz w:val="24"/>
              </w:rPr>
              <w:t>Спостереження у грі; логопедичний скринінг</w:t>
            </w:r>
          </w:p>
        </w:tc>
        <w:tc>
          <w:tcPr>
            <w:tcW w:type="dxa" w:w="2410"/>
          </w:tcPr>
          <w:p>
            <w:pPr>
              <w:jc w:val="left"/>
              <w:spacing w:line="360" w:lineRule="auto"/>
            </w:pPr>
            <w:r>
              <w:rPr>
                <w:rFonts w:ascii="Times New Roman" w:hAnsi="Times New Roman" w:eastAsia="Times New Roman"/>
                <w:b w:val="0"/>
                <w:i w:val="0"/>
                <w:sz w:val="24"/>
              </w:rPr>
              <w:t>Регресія звуків; нові замінення; темпо-ритмічні порушення</w:t>
            </w:r>
          </w:p>
        </w:tc>
      </w:tr>
      <w:tr>
        <w:tc>
          <w:tcPr>
            <w:tcW w:type="dxa" w:w="2410"/>
          </w:tcPr>
          <w:p>
            <w:pPr>
              <w:jc w:val="left"/>
              <w:spacing w:line="360" w:lineRule="auto"/>
            </w:pPr>
            <w:r>
              <w:rPr>
                <w:rFonts w:ascii="Times New Roman" w:hAnsi="Times New Roman" w:eastAsia="Times New Roman"/>
                <w:b w:val="0"/>
                <w:i w:val="0"/>
                <w:sz w:val="24"/>
              </w:rPr>
              <w:t>Лексичний</w:t>
            </w:r>
          </w:p>
        </w:tc>
        <w:tc>
          <w:tcPr>
            <w:tcW w:type="dxa" w:w="2410"/>
          </w:tcPr>
          <w:p>
            <w:pPr>
              <w:jc w:val="left"/>
              <w:spacing w:line="360" w:lineRule="auto"/>
            </w:pPr>
            <w:r>
              <w:rPr>
                <w:rFonts w:ascii="Times New Roman" w:hAnsi="Times New Roman" w:eastAsia="Times New Roman"/>
                <w:b w:val="0"/>
                <w:i w:val="0"/>
                <w:sz w:val="24"/>
              </w:rPr>
              <w:t>Активний/пасивний словник; семантична точність</w:t>
            </w:r>
          </w:p>
        </w:tc>
        <w:tc>
          <w:tcPr>
            <w:tcW w:type="dxa" w:w="2410"/>
          </w:tcPr>
          <w:p>
            <w:pPr>
              <w:jc w:val="left"/>
              <w:spacing w:line="360" w:lineRule="auto"/>
            </w:pPr>
            <w:r>
              <w:rPr>
                <w:rFonts w:ascii="Times New Roman" w:hAnsi="Times New Roman" w:eastAsia="Times New Roman"/>
                <w:b w:val="0"/>
                <w:i w:val="0"/>
                <w:sz w:val="24"/>
              </w:rPr>
              <w:t>Бесіда; «Назви картинку»; вільна гра</w:t>
            </w:r>
          </w:p>
        </w:tc>
        <w:tc>
          <w:tcPr>
            <w:tcW w:type="dxa" w:w="2410"/>
          </w:tcPr>
          <w:p>
            <w:pPr>
              <w:jc w:val="left"/>
              <w:spacing w:line="360" w:lineRule="auto"/>
            </w:pPr>
            <w:r>
              <w:rPr>
                <w:rFonts w:ascii="Times New Roman" w:hAnsi="Times New Roman" w:eastAsia="Times New Roman"/>
                <w:b w:val="0"/>
                <w:i w:val="0"/>
                <w:sz w:val="24"/>
              </w:rPr>
              <w:t>Збіднення активного словника; труднощі пошуку слова</w:t>
            </w:r>
          </w:p>
        </w:tc>
      </w:tr>
      <w:tr>
        <w:tc>
          <w:tcPr>
            <w:tcW w:type="dxa" w:w="2410"/>
          </w:tcPr>
          <w:p>
            <w:pPr>
              <w:jc w:val="left"/>
              <w:spacing w:line="360" w:lineRule="auto"/>
            </w:pPr>
            <w:r>
              <w:rPr>
                <w:rFonts w:ascii="Times New Roman" w:hAnsi="Times New Roman" w:eastAsia="Times New Roman"/>
                <w:b w:val="0"/>
                <w:i w:val="0"/>
                <w:sz w:val="24"/>
              </w:rPr>
              <w:t>Граматичний</w:t>
            </w:r>
          </w:p>
        </w:tc>
        <w:tc>
          <w:tcPr>
            <w:tcW w:type="dxa" w:w="2410"/>
          </w:tcPr>
          <w:p>
            <w:pPr>
              <w:jc w:val="left"/>
              <w:spacing w:line="360" w:lineRule="auto"/>
            </w:pPr>
            <w:r>
              <w:rPr>
                <w:rFonts w:ascii="Times New Roman" w:hAnsi="Times New Roman" w:eastAsia="Times New Roman"/>
                <w:b w:val="0"/>
                <w:i w:val="0"/>
                <w:sz w:val="24"/>
              </w:rPr>
              <w:t>Узгодження; словозміна; словотворення</w:t>
            </w:r>
          </w:p>
        </w:tc>
        <w:tc>
          <w:tcPr>
            <w:tcW w:type="dxa" w:w="2410"/>
          </w:tcPr>
          <w:p>
            <w:pPr>
              <w:jc w:val="left"/>
              <w:spacing w:line="360" w:lineRule="auto"/>
            </w:pPr>
            <w:r>
              <w:rPr>
                <w:rFonts w:ascii="Times New Roman" w:hAnsi="Times New Roman" w:eastAsia="Times New Roman"/>
                <w:b w:val="0"/>
                <w:i w:val="0"/>
                <w:sz w:val="24"/>
              </w:rPr>
              <w:t>Провокуючі запитання; незавершені речення</w:t>
            </w:r>
          </w:p>
        </w:tc>
        <w:tc>
          <w:tcPr>
            <w:tcW w:type="dxa" w:w="2410"/>
          </w:tcPr>
          <w:p>
            <w:pPr>
              <w:jc w:val="left"/>
              <w:spacing w:line="360" w:lineRule="auto"/>
            </w:pPr>
            <w:r>
              <w:rPr>
                <w:rFonts w:ascii="Times New Roman" w:hAnsi="Times New Roman" w:eastAsia="Times New Roman"/>
                <w:b w:val="0"/>
                <w:i w:val="0"/>
                <w:sz w:val="24"/>
              </w:rPr>
              <w:t>Нові аграматизми; спрощення конструкцій</w:t>
            </w:r>
          </w:p>
        </w:tc>
      </w:tr>
      <w:tr>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Переказ; розповідь; опис</w:t>
            </w:r>
          </w:p>
        </w:tc>
        <w:tc>
          <w:tcPr>
            <w:tcW w:type="dxa" w:w="2410"/>
          </w:tcPr>
          <w:p>
            <w:pPr>
              <w:jc w:val="left"/>
              <w:spacing w:line="360" w:lineRule="auto"/>
            </w:pPr>
            <w:r>
              <w:rPr>
                <w:rFonts w:ascii="Times New Roman" w:hAnsi="Times New Roman" w:eastAsia="Times New Roman"/>
                <w:b w:val="0"/>
                <w:i w:val="0"/>
                <w:sz w:val="24"/>
              </w:rPr>
              <w:t>Переказ короткого тексту; розповідь за картиною</w:t>
            </w:r>
          </w:p>
        </w:tc>
        <w:tc>
          <w:tcPr>
            <w:tcW w:type="dxa" w:w="2410"/>
          </w:tcPr>
          <w:p>
            <w:pPr>
              <w:jc w:val="left"/>
              <w:spacing w:line="360" w:lineRule="auto"/>
            </w:pPr>
            <w:r>
              <w:rPr>
                <w:rFonts w:ascii="Times New Roman" w:hAnsi="Times New Roman" w:eastAsia="Times New Roman"/>
                <w:b w:val="0"/>
                <w:i w:val="0"/>
                <w:sz w:val="24"/>
              </w:rPr>
              <w:t>Відмова від монологу; втрата зв'язності; ехолалія</w:t>
            </w:r>
          </w:p>
        </w:tc>
      </w:tr>
      <w:tr>
        <w:tc>
          <w:tcPr>
            <w:tcW w:type="dxa" w:w="2410"/>
          </w:tcPr>
          <w:p>
            <w:pPr>
              <w:jc w:val="left"/>
              <w:spacing w:line="360" w:lineRule="auto"/>
            </w:pPr>
            <w:r>
              <w:rPr>
                <w:rFonts w:ascii="Times New Roman" w:hAnsi="Times New Roman" w:eastAsia="Times New Roman"/>
                <w:b w:val="0"/>
                <w:i w:val="0"/>
                <w:sz w:val="24"/>
              </w:rPr>
              <w:t>Комунікативний</w:t>
            </w:r>
          </w:p>
        </w:tc>
        <w:tc>
          <w:tcPr>
            <w:tcW w:type="dxa" w:w="2410"/>
          </w:tcPr>
          <w:p>
            <w:pPr>
              <w:jc w:val="left"/>
              <w:spacing w:line="360" w:lineRule="auto"/>
            </w:pPr>
            <w:r>
              <w:rPr>
                <w:rFonts w:ascii="Times New Roman" w:hAnsi="Times New Roman" w:eastAsia="Times New Roman"/>
                <w:b w:val="0"/>
                <w:i w:val="0"/>
                <w:sz w:val="24"/>
              </w:rPr>
              <w:t>Ініціативність; діалог; мовленнєвий етикет</w:t>
            </w:r>
          </w:p>
        </w:tc>
        <w:tc>
          <w:tcPr>
            <w:tcW w:type="dxa" w:w="2410"/>
          </w:tcPr>
          <w:p>
            <w:pPr>
              <w:jc w:val="left"/>
              <w:spacing w:line="360" w:lineRule="auto"/>
            </w:pPr>
            <w:r>
              <w:rPr>
                <w:rFonts w:ascii="Times New Roman" w:hAnsi="Times New Roman" w:eastAsia="Times New Roman"/>
                <w:b w:val="0"/>
                <w:i w:val="0"/>
                <w:sz w:val="24"/>
              </w:rPr>
              <w:t>Структуроване спостереження; ситуативна гра</w:t>
            </w:r>
          </w:p>
        </w:tc>
        <w:tc>
          <w:tcPr>
            <w:tcW w:type="dxa" w:w="2410"/>
          </w:tcPr>
          <w:p>
            <w:pPr>
              <w:jc w:val="left"/>
              <w:spacing w:line="360" w:lineRule="auto"/>
            </w:pPr>
            <w:r>
              <w:rPr>
                <w:rFonts w:ascii="Times New Roman" w:hAnsi="Times New Roman" w:eastAsia="Times New Roman"/>
                <w:b w:val="0"/>
                <w:i w:val="0"/>
                <w:sz w:val="24"/>
              </w:rPr>
              <w:t>Уникнення спілкування; мутизм; регресія до жестів</w:t>
            </w:r>
          </w:p>
        </w:tc>
      </w:tr>
      <w:tr>
        <w:tc>
          <w:tcPr>
            <w:tcW w:type="dxa" w:w="2410"/>
          </w:tcPr>
          <w:p>
            <w:pPr>
              <w:jc w:val="left"/>
              <w:spacing w:line="360" w:lineRule="auto"/>
            </w:pPr>
            <w:r>
              <w:rPr>
                <w:rFonts w:ascii="Times New Roman" w:hAnsi="Times New Roman" w:eastAsia="Times New Roman"/>
                <w:b w:val="0"/>
                <w:i w:val="0"/>
                <w:sz w:val="24"/>
              </w:rPr>
              <w:t>Немовленнєвий</w:t>
              <w:br/>
              <w:t>(когнітивний)</w:t>
            </w:r>
          </w:p>
        </w:tc>
        <w:tc>
          <w:tcPr>
            <w:tcW w:type="dxa" w:w="2410"/>
          </w:tcPr>
          <w:p>
            <w:pPr>
              <w:jc w:val="left"/>
              <w:spacing w:line="360" w:lineRule="auto"/>
            </w:pPr>
            <w:r>
              <w:rPr>
                <w:rFonts w:ascii="Times New Roman" w:hAnsi="Times New Roman" w:eastAsia="Times New Roman"/>
                <w:b w:val="0"/>
                <w:i w:val="0"/>
                <w:sz w:val="24"/>
              </w:rPr>
              <w:t>Увага; пам'ять; мислення; моторика</w:t>
            </w:r>
          </w:p>
        </w:tc>
        <w:tc>
          <w:tcPr>
            <w:tcW w:type="dxa" w:w="2410"/>
          </w:tcPr>
          <w:p>
            <w:pPr>
              <w:jc w:val="left"/>
              <w:spacing w:line="360" w:lineRule="auto"/>
            </w:pPr>
            <w:r>
              <w:rPr>
                <w:rFonts w:ascii="Times New Roman" w:hAnsi="Times New Roman" w:eastAsia="Times New Roman"/>
                <w:b w:val="0"/>
                <w:i w:val="0"/>
                <w:sz w:val="24"/>
              </w:rPr>
              <w:t>Ігрові завдання; малювання; спостереження</w:t>
            </w:r>
          </w:p>
        </w:tc>
        <w:tc>
          <w:tcPr>
            <w:tcW w:type="dxa" w:w="2410"/>
          </w:tcPr>
          <w:p>
            <w:pPr>
              <w:jc w:val="left"/>
              <w:spacing w:line="360" w:lineRule="auto"/>
            </w:pPr>
            <w:r>
              <w:rPr>
                <w:rFonts w:ascii="Times New Roman" w:hAnsi="Times New Roman" w:eastAsia="Times New Roman"/>
                <w:b w:val="0"/>
                <w:i w:val="0"/>
                <w:sz w:val="24"/>
              </w:rPr>
              <w:t>Різке зниження концентрації; флешбеки; тремор</w:t>
            </w:r>
          </w:p>
        </w:tc>
      </w:tr>
      <w:tr>
        <w:tc>
          <w:tcPr>
            <w:tcW w:type="dxa" w:w="2410"/>
          </w:tcPr>
          <w:p>
            <w:pPr>
              <w:jc w:val="left"/>
              <w:spacing w:line="360" w:lineRule="auto"/>
            </w:pPr>
            <w:r>
              <w:rPr>
                <w:rFonts w:ascii="Times New Roman" w:hAnsi="Times New Roman" w:eastAsia="Times New Roman"/>
                <w:b w:val="0"/>
                <w:i w:val="0"/>
                <w:sz w:val="24"/>
              </w:rPr>
              <w:t>Немовленнєвий</w:t>
              <w:br/>
              <w:t>(емоційний)</w:t>
            </w:r>
          </w:p>
        </w:tc>
        <w:tc>
          <w:tcPr>
            <w:tcW w:type="dxa" w:w="2410"/>
          </w:tcPr>
          <w:p>
            <w:pPr>
              <w:jc w:val="left"/>
              <w:spacing w:line="360" w:lineRule="auto"/>
            </w:pPr>
            <w:r>
              <w:rPr>
                <w:rFonts w:ascii="Times New Roman" w:hAnsi="Times New Roman" w:eastAsia="Times New Roman"/>
                <w:b w:val="0"/>
                <w:i w:val="0"/>
                <w:sz w:val="24"/>
              </w:rPr>
              <w:t>Тривожність; поведінкові реакції; самооцінка</w:t>
            </w:r>
          </w:p>
        </w:tc>
        <w:tc>
          <w:tcPr>
            <w:tcW w:type="dxa" w:w="2410"/>
          </w:tcPr>
          <w:p>
            <w:pPr>
              <w:jc w:val="left"/>
              <w:spacing w:line="360" w:lineRule="auto"/>
            </w:pPr>
            <w:r>
              <w:rPr>
                <w:rFonts w:ascii="Times New Roman" w:hAnsi="Times New Roman" w:eastAsia="Times New Roman"/>
                <w:b w:val="0"/>
                <w:i w:val="0"/>
                <w:sz w:val="24"/>
              </w:rPr>
              <w:t>Анкета для батьків; проективні малюнки</w:t>
            </w:r>
          </w:p>
        </w:tc>
        <w:tc>
          <w:tcPr>
            <w:tcW w:type="dxa" w:w="2410"/>
          </w:tcPr>
          <w:p>
            <w:pPr>
              <w:jc w:val="left"/>
              <w:spacing w:line="360" w:lineRule="auto"/>
            </w:pPr>
            <w:r>
              <w:rPr>
                <w:rFonts w:ascii="Times New Roman" w:hAnsi="Times New Roman" w:eastAsia="Times New Roman"/>
                <w:b w:val="0"/>
                <w:i w:val="0"/>
                <w:sz w:val="24"/>
              </w:rPr>
              <w:t>Агресія; заторможеність; регресія поведінки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[3; 7; 16; 21; 38].</w:t>
      </w:r>
    </w:p>
    <w:p>
      <w:pPr>
        <w:ind w:firstLine="709"/>
        <w:jc w:val="both"/>
        <w:spacing w:line="360" w:lineRule="auto"/>
      </w:pPr>
      <w:r>
        <w:rPr>
          <w:rFonts w:ascii="Times New Roman" w:hAnsi="Times New Roman" w:eastAsia="Times New Roman"/>
          <w:b w:val="0"/>
          <w:i w:val="0"/>
          <w:sz w:val="28"/>
        </w:rPr>
        <w:t>Організація моніторингу в кризових умовах передбачає декілька принципових змін порівняно зі стандартною процедурою. По-перше, слід відмовитися від ситуацій формального тестування на користь «екологічно валідних» спостережень у природному середовищі дитини – під час ранкового прийому, самостійної гри, занять, прогулянки. По-друге, доцільно застосовувати «портфоліо розвитку» – систематичне фіксування досягнень і труднощів дитини у вигляді коротких записів, аудіофрагментів мовлення та зразків малюнків. По-третє, необхідно регулярно проводити консультаційні бесіди з батьками, оскільки вони є основним джерелом інформації про стан дитини поза межами ЗДО, особливо в умовах дистанційного навчання або вимушеного переміщення [7; 25].</w:t>
      </w:r>
    </w:p>
    <w:p>
      <w:pPr>
        <w:ind w:firstLine="709"/>
        <w:jc w:val="both"/>
        <w:spacing w:line="360" w:lineRule="auto"/>
      </w:pPr>
      <w:r>
        <w:rPr>
          <w:rFonts w:ascii="Times New Roman" w:hAnsi="Times New Roman" w:eastAsia="Times New Roman"/>
          <w:b w:val="0"/>
          <w:i w:val="0"/>
          <w:sz w:val="28"/>
        </w:rPr>
        <w:t>Ю. В. Рібцун пропонує дворівневу модель логопедичного скринінгу: масовий скринінг (проводиться педагогом групи) та поглиблена діагностика (проводиться логопедом для дітей, що потрапили до групи ризику за результатами скринінгу) [28]. В умовах кризи доцільно скоротити інтервали між скринінговими процедурами до одного разу на місяць, а для дітей із вже наявними факторами ризику – проводити неформальні спостереження щотижня. Структуру організації моніторингу в кризових умовах відображено на рис. 2.1.</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СИСТЕМА МОНІТОРИНГУ МОВЛЕННЄВОГО РОЗВИТКУ В КРИЗОВИХ УМОВАХ</w:t>
            </w:r>
          </w:p>
        </w:tc>
      </w:tr>
      <w:tr>
        <w:tc>
          <w:tcPr>
            <w:tcW w:type="dxa" w:w="3213"/>
          </w:tcPr>
          <w:p>
            <w:pPr>
              <w:jc w:val="center"/>
              <w:spacing w:line="360" w:lineRule="auto"/>
            </w:pPr>
            <w:r>
              <w:rPr>
                <w:rFonts w:ascii="Times New Roman" w:hAnsi="Times New Roman" w:eastAsia="Times New Roman"/>
                <w:b w:val="0"/>
                <w:i w:val="0"/>
                <w:sz w:val="22"/>
              </w:rPr>
              <w:t>І рівень</w:t>
              <w:br/>
              <w:t>Масовий скринінг</w:t>
              <w:br/>
              <w:t>(педагог групи,</w:t>
              <w:br/>
              <w:t>1 раз/місяць)</w:t>
            </w:r>
          </w:p>
        </w:tc>
        <w:tc>
          <w:tcPr>
            <w:tcW w:type="dxa" w:w="3213"/>
          </w:tcPr>
          <w:p>
            <w:pPr>
              <w:jc w:val="center"/>
              <w:spacing w:line="360" w:lineRule="auto"/>
            </w:pPr>
            <w:r>
              <w:rPr>
                <w:rFonts w:ascii="Times New Roman" w:hAnsi="Times New Roman" w:eastAsia="Times New Roman"/>
                <w:b w:val="0"/>
                <w:i w:val="0"/>
                <w:sz w:val="22"/>
              </w:rPr>
              <w:t>ІІ рівень</w:t>
              <w:br/>
              <w:t>Поглиблена діагностика</w:t>
              <w:br/>
              <w:t>(логопед,</w:t>
              <w:br/>
              <w:t>група ризику)</w:t>
            </w:r>
          </w:p>
        </w:tc>
        <w:tc>
          <w:tcPr>
            <w:tcW w:type="dxa" w:w="3213"/>
          </w:tcPr>
          <w:p>
            <w:pPr>
              <w:jc w:val="center"/>
              <w:spacing w:line="360" w:lineRule="auto"/>
            </w:pPr>
            <w:r>
              <w:rPr>
                <w:rFonts w:ascii="Times New Roman" w:hAnsi="Times New Roman" w:eastAsia="Times New Roman"/>
                <w:b w:val="0"/>
                <w:i w:val="0"/>
                <w:sz w:val="22"/>
              </w:rPr>
              <w:t>ІІІ рівень</w:t>
              <w:br/>
              <w:t>Командний супровід</w:t>
              <w:br/>
              <w:t>(логопед + психолог</w:t>
              <w:br/>
              <w:t>+ батьки)</w:t>
            </w:r>
          </w:p>
        </w:tc>
      </w:tr>
      <w:tr>
        <w:tc>
          <w:tcPr>
            <w:tcW w:type="dxa" w:w="9639"/>
            <w:gridSpan w:val="3"/>
          </w:tcPr>
          <w:p>
            <w:pPr>
              <w:jc w:val="center"/>
              <w:spacing w:line="360" w:lineRule="auto"/>
            </w:pPr>
            <w:r>
              <w:rPr>
                <w:rFonts w:ascii="Times New Roman" w:hAnsi="Times New Roman" w:eastAsia="Times New Roman"/>
                <w:b w:val="0"/>
                <w:i w:val="0"/>
                <w:sz w:val="22"/>
              </w:rPr>
              <w:t>Інструменти: спостереження у грі · портфоліо розвитку · анкетування батьків · аудіозразки мовлення</w:t>
            </w:r>
          </w:p>
        </w:tc>
      </w:tr>
      <w:tr>
        <w:tc>
          <w:tcPr>
            <w:tcW w:type="dxa" w:w="9639"/>
            <w:gridSpan w:val="3"/>
          </w:tcPr>
          <w:p>
            <w:pPr>
              <w:jc w:val="center"/>
              <w:spacing w:line="360" w:lineRule="auto"/>
            </w:pPr>
            <w:r>
              <w:rPr>
                <w:rFonts w:ascii="Times New Roman" w:hAnsi="Times New Roman" w:eastAsia="Times New Roman"/>
                <w:b/>
                <w:i w:val="0"/>
                <w:sz w:val="22"/>
              </w:rPr>
              <w:t>РЕЗУЛЬТАТ: своєчасне виявлення ризиків → індивідуалізація превентивної програми</w:t>
            </w:r>
          </w:p>
        </w:tc>
      </w:tr>
    </w:tbl>
    <w:p>
      <w:pPr>
        <w:ind w:firstLine="0"/>
        <w:jc w:val="center"/>
        <w:spacing w:line="360" w:lineRule="auto"/>
      </w:pPr>
      <w:r>
        <w:rPr>
          <w:rFonts w:ascii="Times New Roman" w:hAnsi="Times New Roman" w:eastAsia="Times New Roman"/>
          <w:b w:val="0"/>
          <w:i/>
          <w:sz w:val="28"/>
        </w:rPr>
        <w:t>Рис. 2.1 Рівнева організація моніторингу мовленнєвого розвитку дошкільників у кризових умовах</w:t>
      </w:r>
    </w:p>
    <w:p>
      <w:pPr>
        <w:ind w:firstLine="709"/>
        <w:jc w:val="both"/>
        <w:spacing w:line="360" w:lineRule="auto"/>
      </w:pPr>
      <w:r>
        <w:rPr>
          <w:rFonts w:ascii="Times New Roman" w:hAnsi="Times New Roman" w:eastAsia="Times New Roman"/>
          <w:b w:val="0"/>
          <w:i w:val="0"/>
          <w:sz w:val="28"/>
        </w:rPr>
        <w:t>Таким чином, комплексний моніторинг мовленнєвих і немовленнєвих процесів у дітей старшого дошкільного віку в кризових умовах є необхідною передумовою ефективної превентивної роботи. Він дозволяє своєчасно ідентифікувати дітей групи ризику, відслідковувати динаміку їхнього стану та гнучко коригувати зміст і форми педагогічного втручання. Отримані в ході моніторингу дані є підставою для розробки індивідуалізованих превентивних програм, методичний інструментарій яких розглядається у наступному підрозділі.</w:t>
      </w:r>
    </w:p>
    <w:p>
      <w:pPr>
        <w:ind w:firstLine="0"/>
        <w:jc w:val="both"/>
        <w:spacing w:line="360" w:lineRule="auto"/>
      </w:pPr>
      <w:r>
        <w:rPr>
          <w:rFonts w:ascii="Times New Roman" w:hAnsi="Times New Roman" w:eastAsia="Times New Roman"/>
          <w:b/>
          <w:i w:val="0"/>
          <w:sz w:val="28"/>
        </w:rPr>
        <w:t>2.2. Система ігрових та арт-терапевтичних методів запобігання мовленнєвим труднощам</w:t>
      </w:r>
    </w:p>
    <w:p>
      <w:pPr>
        <w:ind w:firstLine="709"/>
        <w:jc w:val="both"/>
        <w:spacing w:line="360" w:lineRule="auto"/>
      </w:pPr>
      <w:r>
        <w:rPr>
          <w:rFonts w:ascii="Times New Roman" w:hAnsi="Times New Roman" w:eastAsia="Times New Roman"/>
          <w:b w:val="0"/>
          <w:i w:val="0"/>
          <w:sz w:val="28"/>
        </w:rPr>
        <w:t>Провідна роль гри у розвитку та превенції мовленнєвих порушень у дітей дошкільного віку є аксіомою вітчизняної педагогіки та психології. Л. С. Виготський розглядав гру як «провідну діяльність» дошкільника, в якій виникає зона найближчого розвитку та найінтенсивніше формуються всі психічні функції, зокрема мовлення [2]. В умовах екстремальної невизначеності ігрова та арт-терапевтична діяльність набуває подвійної функції: по-перше, вона слугує безпечним простором для переробки травматичного досвіду і стабілізації емоційного стану; по-друге, є природним середовищем для розвитку і підтримки мовленнєвої компетентності [10; 36].</w:t>
      </w:r>
    </w:p>
    <w:p>
      <w:pPr>
        <w:ind w:firstLine="709"/>
        <w:jc w:val="both"/>
        <w:spacing w:line="360" w:lineRule="auto"/>
      </w:pPr>
      <w:r>
        <w:rPr>
          <w:rFonts w:ascii="Times New Roman" w:hAnsi="Times New Roman" w:eastAsia="Times New Roman"/>
          <w:b w:val="0"/>
          <w:i w:val="0"/>
          <w:sz w:val="28"/>
        </w:rPr>
        <w:t>Ігрові методи превенції мовленнєвих труднощів можна розподілити на кілька груп відповідно до мовленнєвого компонента, на розвиток якого вони спрямовані. Для підтримки фонетико-фонематичної складової застосовуються фонетичні ігри («Впіймай звук», «Луна», «Телефон»), ритмічні ігри з долоньками та артикуляційна гімнастика в ігровій формі. Лексичний розвиток забезпечується дидактичними іграми на класифікацію, узагальнення та синонімічні заміни («Четвертий зайвий», «Скажи по-іншому», «Асоціативний ланцюжок»). Граматична складова формується через ігри зі словотвором («Маленький – великий», «Чий хвіст?») та вправи з деформованими реченнями [8; 26].</w:t>
      </w:r>
    </w:p>
    <w:p>
      <w:pPr>
        <w:ind w:firstLine="709"/>
        <w:jc w:val="both"/>
        <w:spacing w:line="360" w:lineRule="auto"/>
      </w:pPr>
      <w:r>
        <w:rPr>
          <w:rFonts w:ascii="Times New Roman" w:hAnsi="Times New Roman" w:eastAsia="Times New Roman"/>
          <w:b w:val="0"/>
          <w:i w:val="0"/>
          <w:sz w:val="28"/>
        </w:rPr>
        <w:t>Арт-терапевтичні методи у логопедичній практиці становлять особливу цінність у роботі з дітьми, котрі пережили психотравматичні події, адже дозволяють обминути вербальний опір і встановити контакт через невербальні канали. О. В. Мартинчук та К. Л. Мілютіна виокремлюють такі різновиди арт-терапії, що мають доведений превентивний вплив на мовленнєвий розвиток дошкільника: казкотерапія, музикотерапія, ізотерапія, пісочна терапія та ляльковий театр [20; 33]. Казкотерапія забезпечує розвиток зв'язного мовлення через розповідання і ретелінг казок, складання власних історій, що особливо важливо, оскільки нарративна функція мовлення у стресових умовах страждає першою [15].</w:t>
      </w:r>
    </w:p>
    <w:p>
      <w:pPr>
        <w:ind w:firstLine="709"/>
        <w:jc w:val="both"/>
        <w:spacing w:line="360" w:lineRule="auto"/>
      </w:pPr>
      <w:r>
        <w:rPr>
          <w:rFonts w:ascii="Times New Roman" w:hAnsi="Times New Roman" w:eastAsia="Times New Roman"/>
          <w:b w:val="0"/>
          <w:i w:val="0"/>
          <w:sz w:val="28"/>
        </w:rPr>
        <w:t>Систему ігрових та арт-терапевтичних методів запобігання мовленнєвим труднощам залежно від мети і компоненту мовлення представлено в таблиці 2.2.</w:t>
      </w:r>
    </w:p>
    <w:p>
      <w:pPr>
        <w:ind w:firstLine="0"/>
        <w:jc w:val="right"/>
        <w:spacing w:line="360" w:lineRule="auto"/>
      </w:pPr>
      <w:r>
        <w:rPr>
          <w:rFonts w:ascii="Times New Roman" w:hAnsi="Times New Roman" w:eastAsia="Times New Roman"/>
          <w:b w:val="0"/>
          <w:i w:val="0"/>
          <w:sz w:val="28"/>
        </w:rPr>
        <w:t>Таблиця 2.2</w:t>
      </w:r>
    </w:p>
    <w:p>
      <w:pPr>
        <w:ind w:firstLine="0"/>
        <w:jc w:val="center"/>
        <w:spacing w:line="360" w:lineRule="auto"/>
      </w:pPr>
      <w:r>
        <w:rPr>
          <w:rFonts w:ascii="Times New Roman" w:hAnsi="Times New Roman" w:eastAsia="Times New Roman"/>
          <w:b/>
          <w:i w:val="0"/>
          <w:sz w:val="28"/>
        </w:rPr>
        <w:t>Система ігрових та арт-терапевтичних методів превенції мовленнєвих труднощів у старших дошкільників</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Напрям роботи</w:t>
            </w:r>
          </w:p>
        </w:tc>
        <w:tc>
          <w:tcPr>
            <w:tcW w:type="dxa" w:w="2410"/>
          </w:tcPr>
          <w:p>
            <w:pPr>
              <w:jc w:val="center"/>
              <w:spacing w:line="360" w:lineRule="auto"/>
            </w:pPr>
            <w:r>
              <w:rPr>
                <w:rFonts w:ascii="Times New Roman" w:hAnsi="Times New Roman" w:eastAsia="Times New Roman"/>
                <w:b/>
                <w:i w:val="0"/>
                <w:sz w:val="24"/>
              </w:rPr>
              <w:t>Методи та форми</w:t>
            </w:r>
          </w:p>
        </w:tc>
        <w:tc>
          <w:tcPr>
            <w:tcW w:type="dxa" w:w="2410"/>
          </w:tcPr>
          <w:p>
            <w:pPr>
              <w:jc w:val="center"/>
              <w:spacing w:line="360" w:lineRule="auto"/>
            </w:pPr>
            <w:r>
              <w:rPr>
                <w:rFonts w:ascii="Times New Roman" w:hAnsi="Times New Roman" w:eastAsia="Times New Roman"/>
                <w:b/>
                <w:i w:val="0"/>
                <w:sz w:val="24"/>
              </w:rPr>
              <w:t>Приклади вправ / ігор</w:t>
            </w:r>
          </w:p>
        </w:tc>
        <w:tc>
          <w:tcPr>
            <w:tcW w:type="dxa" w:w="2410"/>
          </w:tcPr>
          <w:p>
            <w:pPr>
              <w:jc w:val="center"/>
              <w:spacing w:line="360" w:lineRule="auto"/>
            </w:pPr>
            <w:r>
              <w:rPr>
                <w:rFonts w:ascii="Times New Roman" w:hAnsi="Times New Roman" w:eastAsia="Times New Roman"/>
                <w:b/>
                <w:i w:val="0"/>
                <w:sz w:val="24"/>
              </w:rPr>
              <w:t>Мовленнєвий ефект</w:t>
            </w:r>
          </w:p>
        </w:tc>
      </w:tr>
      <w:tr>
        <w:tc>
          <w:tcPr>
            <w:tcW w:type="dxa" w:w="2410"/>
          </w:tcPr>
          <w:p>
            <w:pPr>
              <w:jc w:val="left"/>
              <w:spacing w:line="360" w:lineRule="auto"/>
            </w:pPr>
            <w:r>
              <w:rPr>
                <w:rFonts w:ascii="Times New Roman" w:hAnsi="Times New Roman" w:eastAsia="Times New Roman"/>
                <w:b w:val="0"/>
                <w:i w:val="0"/>
                <w:sz w:val="24"/>
              </w:rPr>
              <w:t>Фонетико-фонематична</w:t>
              <w:br/>
              <w:t>превенція</w:t>
            </w:r>
          </w:p>
        </w:tc>
        <w:tc>
          <w:tcPr>
            <w:tcW w:type="dxa" w:w="2410"/>
          </w:tcPr>
          <w:p>
            <w:pPr>
              <w:jc w:val="left"/>
              <w:spacing w:line="360" w:lineRule="auto"/>
            </w:pPr>
            <w:r>
              <w:rPr>
                <w:rFonts w:ascii="Times New Roman" w:hAnsi="Times New Roman" w:eastAsia="Times New Roman"/>
                <w:b w:val="0"/>
                <w:i w:val="0"/>
                <w:sz w:val="24"/>
              </w:rPr>
              <w:t>Ритмічні та звукові ігри; артикуляційна гімнастика</w:t>
            </w:r>
          </w:p>
        </w:tc>
        <w:tc>
          <w:tcPr>
            <w:tcW w:type="dxa" w:w="2410"/>
          </w:tcPr>
          <w:p>
            <w:pPr>
              <w:jc w:val="left"/>
              <w:spacing w:line="360" w:lineRule="auto"/>
            </w:pPr>
            <w:r>
              <w:rPr>
                <w:rFonts w:ascii="Times New Roman" w:hAnsi="Times New Roman" w:eastAsia="Times New Roman"/>
                <w:b w:val="0"/>
                <w:i w:val="0"/>
                <w:sz w:val="24"/>
              </w:rPr>
              <w:t>«Луна», «Впіймай звук», «Повтори ритм», «Казкова гімнастика язичка»</w:t>
            </w:r>
          </w:p>
        </w:tc>
        <w:tc>
          <w:tcPr>
            <w:tcW w:type="dxa" w:w="2410"/>
          </w:tcPr>
          <w:p>
            <w:pPr>
              <w:jc w:val="left"/>
              <w:spacing w:line="360" w:lineRule="auto"/>
            </w:pPr>
            <w:r>
              <w:rPr>
                <w:rFonts w:ascii="Times New Roman" w:hAnsi="Times New Roman" w:eastAsia="Times New Roman"/>
                <w:b w:val="0"/>
                <w:i w:val="0"/>
                <w:sz w:val="24"/>
              </w:rPr>
              <w:t>Збереження чіткості звуковимови; розвиток фонематичного слуху</w:t>
            </w:r>
          </w:p>
        </w:tc>
      </w:tr>
      <w:tr>
        <w:tc>
          <w:tcPr>
            <w:tcW w:type="dxa" w:w="2410"/>
          </w:tcPr>
          <w:p>
            <w:pPr>
              <w:jc w:val="left"/>
              <w:spacing w:line="360" w:lineRule="auto"/>
            </w:pPr>
            <w:r>
              <w:rPr>
                <w:rFonts w:ascii="Times New Roman" w:hAnsi="Times New Roman" w:eastAsia="Times New Roman"/>
                <w:b w:val="0"/>
                <w:i w:val="0"/>
                <w:sz w:val="24"/>
              </w:rPr>
              <w:t>Лексична превенція</w:t>
            </w:r>
          </w:p>
        </w:tc>
        <w:tc>
          <w:tcPr>
            <w:tcW w:type="dxa" w:w="2410"/>
          </w:tcPr>
          <w:p>
            <w:pPr>
              <w:jc w:val="left"/>
              <w:spacing w:line="360" w:lineRule="auto"/>
            </w:pPr>
            <w:r>
              <w:rPr>
                <w:rFonts w:ascii="Times New Roman" w:hAnsi="Times New Roman" w:eastAsia="Times New Roman"/>
                <w:b w:val="0"/>
                <w:i w:val="0"/>
                <w:sz w:val="24"/>
              </w:rPr>
              <w:t>Дидактичні ігри; асоціативні вправи; словесні ланцюжки</w:t>
            </w:r>
          </w:p>
        </w:tc>
        <w:tc>
          <w:tcPr>
            <w:tcW w:type="dxa" w:w="2410"/>
          </w:tcPr>
          <w:p>
            <w:pPr>
              <w:jc w:val="left"/>
              <w:spacing w:line="360" w:lineRule="auto"/>
            </w:pPr>
            <w:r>
              <w:rPr>
                <w:rFonts w:ascii="Times New Roman" w:hAnsi="Times New Roman" w:eastAsia="Times New Roman"/>
                <w:b w:val="0"/>
                <w:i w:val="0"/>
                <w:sz w:val="24"/>
              </w:rPr>
              <w:t>«Четвертий зайвий», «Асоціації», «Скажи навпаки», «Що з чого?»</w:t>
            </w:r>
          </w:p>
        </w:tc>
        <w:tc>
          <w:tcPr>
            <w:tcW w:type="dxa" w:w="2410"/>
          </w:tcPr>
          <w:p>
            <w:pPr>
              <w:jc w:val="left"/>
              <w:spacing w:line="360" w:lineRule="auto"/>
            </w:pPr>
            <w:r>
              <w:rPr>
                <w:rFonts w:ascii="Times New Roman" w:hAnsi="Times New Roman" w:eastAsia="Times New Roman"/>
                <w:b w:val="0"/>
                <w:i w:val="0"/>
                <w:sz w:val="24"/>
              </w:rPr>
              <w:t>Збагачення активного словника; семантична точність</w:t>
            </w:r>
          </w:p>
        </w:tc>
      </w:tr>
      <w:tr>
        <w:tc>
          <w:tcPr>
            <w:tcW w:type="dxa" w:w="2410"/>
          </w:tcPr>
          <w:p>
            <w:pPr>
              <w:jc w:val="left"/>
              <w:spacing w:line="360" w:lineRule="auto"/>
            </w:pPr>
            <w:r>
              <w:rPr>
                <w:rFonts w:ascii="Times New Roman" w:hAnsi="Times New Roman" w:eastAsia="Times New Roman"/>
                <w:b w:val="0"/>
                <w:i w:val="0"/>
                <w:sz w:val="24"/>
              </w:rPr>
              <w:t>Граматична превенція</w:t>
            </w:r>
          </w:p>
        </w:tc>
        <w:tc>
          <w:tcPr>
            <w:tcW w:type="dxa" w:w="2410"/>
          </w:tcPr>
          <w:p>
            <w:pPr>
              <w:jc w:val="left"/>
              <w:spacing w:line="360" w:lineRule="auto"/>
            </w:pPr>
            <w:r>
              <w:rPr>
                <w:rFonts w:ascii="Times New Roman" w:hAnsi="Times New Roman" w:eastAsia="Times New Roman"/>
                <w:b w:val="0"/>
                <w:i w:val="0"/>
                <w:sz w:val="24"/>
              </w:rPr>
              <w:t>Ігри зі словотвором; робота з деформованими реченнями</w:t>
            </w:r>
          </w:p>
        </w:tc>
        <w:tc>
          <w:tcPr>
            <w:tcW w:type="dxa" w:w="2410"/>
          </w:tcPr>
          <w:p>
            <w:pPr>
              <w:jc w:val="left"/>
              <w:spacing w:line="360" w:lineRule="auto"/>
            </w:pPr>
            <w:r>
              <w:rPr>
                <w:rFonts w:ascii="Times New Roman" w:hAnsi="Times New Roman" w:eastAsia="Times New Roman"/>
                <w:b w:val="0"/>
                <w:i w:val="0"/>
                <w:sz w:val="24"/>
              </w:rPr>
              <w:t>«Маленький – великий», «Чий?», «Скажи правильно», «Плутанина»</w:t>
            </w:r>
          </w:p>
        </w:tc>
        <w:tc>
          <w:tcPr>
            <w:tcW w:type="dxa" w:w="2410"/>
          </w:tcPr>
          <w:p>
            <w:pPr>
              <w:jc w:val="left"/>
              <w:spacing w:line="360" w:lineRule="auto"/>
            </w:pPr>
            <w:r>
              <w:rPr>
                <w:rFonts w:ascii="Times New Roman" w:hAnsi="Times New Roman" w:eastAsia="Times New Roman"/>
                <w:b w:val="0"/>
                <w:i w:val="0"/>
                <w:sz w:val="24"/>
              </w:rPr>
              <w:t>Збереження граматичної правильності; усунення аграматизмів</w:t>
            </w:r>
          </w:p>
        </w:tc>
      </w:tr>
      <w:tr>
        <w:tc>
          <w:tcPr>
            <w:tcW w:type="dxa" w:w="2410"/>
          </w:tcPr>
          <w:p>
            <w:pPr>
              <w:jc w:val="left"/>
              <w:spacing w:line="360" w:lineRule="auto"/>
            </w:pPr>
            <w:r>
              <w:rPr>
                <w:rFonts w:ascii="Times New Roman" w:hAnsi="Times New Roman" w:eastAsia="Times New Roman"/>
                <w:b w:val="0"/>
                <w:i w:val="0"/>
                <w:sz w:val="24"/>
              </w:rPr>
              <w:t>Розвиток зв'язного</w:t>
              <w:br/>
              <w:t>мовлення</w:t>
            </w:r>
          </w:p>
        </w:tc>
        <w:tc>
          <w:tcPr>
            <w:tcW w:type="dxa" w:w="2410"/>
          </w:tcPr>
          <w:p>
            <w:pPr>
              <w:jc w:val="left"/>
              <w:spacing w:line="360" w:lineRule="auto"/>
            </w:pPr>
            <w:r>
              <w:rPr>
                <w:rFonts w:ascii="Times New Roman" w:hAnsi="Times New Roman" w:eastAsia="Times New Roman"/>
                <w:b w:val="0"/>
                <w:i w:val="0"/>
                <w:sz w:val="24"/>
              </w:rPr>
              <w:t>Казкотерапія; розповідь за серією картин; складання історій</w:t>
            </w:r>
          </w:p>
        </w:tc>
        <w:tc>
          <w:tcPr>
            <w:tcW w:type="dxa" w:w="2410"/>
          </w:tcPr>
          <w:p>
            <w:pPr>
              <w:jc w:val="left"/>
              <w:spacing w:line="360" w:lineRule="auto"/>
            </w:pPr>
            <w:r>
              <w:rPr>
                <w:rFonts w:ascii="Times New Roman" w:hAnsi="Times New Roman" w:eastAsia="Times New Roman"/>
                <w:b w:val="0"/>
                <w:i w:val="0"/>
                <w:sz w:val="24"/>
              </w:rPr>
              <w:t>«Продовж казку», «Картинна галерея», «Наша книга», ретелінг</w:t>
            </w:r>
          </w:p>
        </w:tc>
        <w:tc>
          <w:tcPr>
            <w:tcW w:type="dxa" w:w="2410"/>
          </w:tcPr>
          <w:p>
            <w:pPr>
              <w:jc w:val="left"/>
              <w:spacing w:line="360" w:lineRule="auto"/>
            </w:pPr>
            <w:r>
              <w:rPr>
                <w:rFonts w:ascii="Times New Roman" w:hAnsi="Times New Roman" w:eastAsia="Times New Roman"/>
                <w:b w:val="0"/>
                <w:i w:val="0"/>
                <w:sz w:val="24"/>
              </w:rPr>
              <w:t>Підтримка нарративних навичок; структурованість висловлювань</w:t>
            </w:r>
          </w:p>
        </w:tc>
      </w:tr>
      <w:tr>
        <w:tc>
          <w:tcPr>
            <w:tcW w:type="dxa" w:w="2410"/>
          </w:tcPr>
          <w:p>
            <w:pPr>
              <w:jc w:val="left"/>
              <w:spacing w:line="360" w:lineRule="auto"/>
            </w:pPr>
            <w:r>
              <w:rPr>
                <w:rFonts w:ascii="Times New Roman" w:hAnsi="Times New Roman" w:eastAsia="Times New Roman"/>
                <w:b w:val="0"/>
                <w:i w:val="0"/>
                <w:sz w:val="24"/>
              </w:rPr>
              <w:t>Емоційна стабілізація</w:t>
              <w:br/>
              <w:t>(база мовлення)</w:t>
            </w:r>
          </w:p>
        </w:tc>
        <w:tc>
          <w:tcPr>
            <w:tcW w:type="dxa" w:w="2410"/>
          </w:tcPr>
          <w:p>
            <w:pPr>
              <w:jc w:val="left"/>
              <w:spacing w:line="360" w:lineRule="auto"/>
            </w:pPr>
            <w:r>
              <w:rPr>
                <w:rFonts w:ascii="Times New Roman" w:hAnsi="Times New Roman" w:eastAsia="Times New Roman"/>
                <w:b w:val="0"/>
                <w:i w:val="0"/>
                <w:sz w:val="24"/>
              </w:rPr>
              <w:t>Ізотерапія; пісочна терапія; музикотерапія</w:t>
            </w:r>
          </w:p>
        </w:tc>
        <w:tc>
          <w:tcPr>
            <w:tcW w:type="dxa" w:w="2410"/>
          </w:tcPr>
          <w:p>
            <w:pPr>
              <w:jc w:val="left"/>
              <w:spacing w:line="360" w:lineRule="auto"/>
            </w:pPr>
            <w:r>
              <w:rPr>
                <w:rFonts w:ascii="Times New Roman" w:hAnsi="Times New Roman" w:eastAsia="Times New Roman"/>
                <w:b w:val="0"/>
                <w:i w:val="0"/>
                <w:sz w:val="24"/>
              </w:rPr>
              <w:t>Малювання «безпечного місця», пісочні мандали, ритмічне пісенне коло</w:t>
            </w:r>
          </w:p>
        </w:tc>
        <w:tc>
          <w:tcPr>
            <w:tcW w:type="dxa" w:w="2410"/>
          </w:tcPr>
          <w:p>
            <w:pPr>
              <w:jc w:val="left"/>
              <w:spacing w:line="360" w:lineRule="auto"/>
            </w:pPr>
            <w:r>
              <w:rPr>
                <w:rFonts w:ascii="Times New Roman" w:hAnsi="Times New Roman" w:eastAsia="Times New Roman"/>
                <w:b w:val="0"/>
                <w:i w:val="0"/>
                <w:sz w:val="24"/>
              </w:rPr>
              <w:t>Зниження тривожності; відновлення комунікативної ініціативи</w:t>
            </w:r>
          </w:p>
        </w:tc>
      </w:tr>
      <w:tr>
        <w:tc>
          <w:tcPr>
            <w:tcW w:type="dxa" w:w="2410"/>
          </w:tcPr>
          <w:p>
            <w:pPr>
              <w:jc w:val="left"/>
              <w:spacing w:line="360" w:lineRule="auto"/>
            </w:pPr>
            <w:r>
              <w:rPr>
                <w:rFonts w:ascii="Times New Roman" w:hAnsi="Times New Roman" w:eastAsia="Times New Roman"/>
                <w:b w:val="0"/>
                <w:i w:val="0"/>
                <w:sz w:val="24"/>
              </w:rPr>
              <w:t>Комунікативна</w:t>
              <w:br/>
              <w:t>превенція</w:t>
            </w:r>
          </w:p>
        </w:tc>
        <w:tc>
          <w:tcPr>
            <w:tcW w:type="dxa" w:w="2410"/>
          </w:tcPr>
          <w:p>
            <w:pPr>
              <w:jc w:val="left"/>
              <w:spacing w:line="360" w:lineRule="auto"/>
            </w:pPr>
            <w:r>
              <w:rPr>
                <w:rFonts w:ascii="Times New Roman" w:hAnsi="Times New Roman" w:eastAsia="Times New Roman"/>
                <w:b w:val="0"/>
                <w:i w:val="0"/>
                <w:sz w:val="24"/>
              </w:rPr>
              <w:t>Ляльковий театр; рольові ігри; парні й групові взаємодії</w:t>
            </w:r>
          </w:p>
        </w:tc>
        <w:tc>
          <w:tcPr>
            <w:tcW w:type="dxa" w:w="2410"/>
          </w:tcPr>
          <w:p>
            <w:pPr>
              <w:jc w:val="left"/>
              <w:spacing w:line="360" w:lineRule="auto"/>
            </w:pPr>
            <w:r>
              <w:rPr>
                <w:rFonts w:ascii="Times New Roman" w:hAnsi="Times New Roman" w:eastAsia="Times New Roman"/>
                <w:b w:val="0"/>
                <w:i w:val="0"/>
                <w:sz w:val="24"/>
              </w:rPr>
              <w:t>«Пальчиковий театр», «Ляльки-рукавички», сюжетно-рольова гра</w:t>
            </w:r>
          </w:p>
        </w:tc>
        <w:tc>
          <w:tcPr>
            <w:tcW w:type="dxa" w:w="2410"/>
          </w:tcPr>
          <w:p>
            <w:pPr>
              <w:jc w:val="left"/>
              <w:spacing w:line="360" w:lineRule="auto"/>
            </w:pPr>
            <w:r>
              <w:rPr>
                <w:rFonts w:ascii="Times New Roman" w:hAnsi="Times New Roman" w:eastAsia="Times New Roman"/>
                <w:b w:val="0"/>
                <w:i w:val="0"/>
                <w:sz w:val="24"/>
              </w:rPr>
              <w:t>Збереження діалогічного мовлення; мовленнєвий етикет</w:t>
            </w:r>
          </w:p>
        </w:tc>
      </w:tr>
    </w:tbl>
    <w:p>
      <w:pPr>
        <w:ind w:firstLine="0"/>
        <w:jc w:val="both"/>
        <w:spacing w:line="360" w:lineRule="auto"/>
      </w:pPr>
      <w:r>
        <w:rPr>
          <w:rFonts w:ascii="Times New Roman" w:hAnsi="Times New Roman" w:eastAsia="Times New Roman"/>
          <w:b w:val="0"/>
          <w:i/>
          <w:sz w:val="28"/>
        </w:rPr>
        <w:t>Джерело: складено автором на основі [2; 8; 10; 15; 20; 26; 33; 36].</w:t>
      </w:r>
    </w:p>
    <w:p>
      <w:pPr>
        <w:ind w:firstLine="709"/>
        <w:jc w:val="both"/>
        <w:spacing w:line="360" w:lineRule="auto"/>
      </w:pPr>
      <w:r>
        <w:rPr>
          <w:rFonts w:ascii="Times New Roman" w:hAnsi="Times New Roman" w:eastAsia="Times New Roman"/>
          <w:b w:val="0"/>
          <w:i w:val="0"/>
          <w:sz w:val="28"/>
        </w:rPr>
        <w:t>Особливе місце у системі превентивних методів посідає пісочна терапія. Г. О. Сіліна та Л. І. Прохоренко зазначають, що робота з піском, маючи виражений сенсорно-інтегративний ефект, одночасно знижує рівень тривоги і стимулює дрібну моторику – безпосередню базу мовленнєвого розвитку [34]. Логопедичні заняття у пісочниці («пісочна логопедія») дозволяють закріплювати звуки, лексичні теми та граматичні структури у контексті, що є природним і безпечним для дитини в стані стресу.</w:t>
      </w:r>
    </w:p>
    <w:p>
      <w:pPr>
        <w:ind w:firstLine="709"/>
        <w:jc w:val="both"/>
        <w:spacing w:line="360" w:lineRule="auto"/>
      </w:pPr>
      <w:r>
        <w:rPr>
          <w:rFonts w:ascii="Times New Roman" w:hAnsi="Times New Roman" w:eastAsia="Times New Roman"/>
          <w:b w:val="0"/>
          <w:i w:val="0"/>
          <w:sz w:val="28"/>
        </w:rPr>
        <w:t>Музикотерапія та ритмічні вправи в логопедичній роботі спираються на доведений нейропсихологічний зв'язок між ритмом, рухом і мовленням. А. В. Семенович та Т. Б. Філічева підкреслюють, що ритмічна стимуляція через музику та рух активує ті ж самі ділянки мозку, що й мовленнєва діяльність, і тому може компенсувати дефіцити, що виникають внаслідок стресового впливу [32; 39]. Щоденне «пісенне коло» з використанням народних пісень, лічилок і речитативів забезпечує одночасно фонетичну, ритмічну та комунікативну стимуляцію.</w:t>
      </w:r>
    </w:p>
    <w:p>
      <w:pPr>
        <w:ind w:firstLine="709"/>
        <w:jc w:val="both"/>
        <w:spacing w:line="360" w:lineRule="auto"/>
      </w:pPr>
      <w:r>
        <w:rPr>
          <w:rFonts w:ascii="Times New Roman" w:hAnsi="Times New Roman" w:eastAsia="Times New Roman"/>
          <w:b w:val="0"/>
          <w:i w:val="0"/>
          <w:sz w:val="28"/>
        </w:rPr>
        <w:t>Взаємозв'язок ігрових та арт-терапевтичних методів у системі превентивної роботи та їх вплив на компоненти мовленнєвої компетентності відображено на рис. 2.2.</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9636"/>
            <w:gridSpan w:val="6"/>
          </w:tcPr>
          <w:p>
            <w:pPr>
              <w:jc w:val="center"/>
              <w:spacing w:line="360" w:lineRule="auto"/>
            </w:pPr>
            <w:r>
              <w:rPr>
                <w:rFonts w:ascii="Times New Roman" w:hAnsi="Times New Roman" w:eastAsia="Times New Roman"/>
                <w:b/>
                <w:i w:val="0"/>
                <w:sz w:val="22"/>
              </w:rPr>
              <w:t>ІГРОВІ ТА АРТ-ТЕРАПЕВТИЧНІ МЕТОДИ ПРЕВЕНЦІЇ МОВЛЕННЄВИХ ТРУДНОЩІВ</w:t>
            </w:r>
          </w:p>
        </w:tc>
      </w:tr>
      <w:tr>
        <w:tc>
          <w:tcPr>
            <w:tcW w:type="dxa" w:w="1606"/>
          </w:tcPr>
          <w:p>
            <w:pPr>
              <w:jc w:val="center"/>
              <w:spacing w:line="360" w:lineRule="auto"/>
            </w:pPr>
            <w:r>
              <w:rPr>
                <w:rFonts w:ascii="Times New Roman" w:hAnsi="Times New Roman" w:eastAsia="Times New Roman"/>
                <w:b w:val="0"/>
                <w:i w:val="0"/>
                <w:sz w:val="20"/>
              </w:rPr>
              <w:t>Фонетичні</w:t>
              <w:br/>
              <w:t>ігри</w:t>
            </w:r>
          </w:p>
        </w:tc>
        <w:tc>
          <w:tcPr>
            <w:tcW w:type="dxa" w:w="1606"/>
          </w:tcPr>
          <w:p>
            <w:pPr>
              <w:jc w:val="center"/>
              <w:spacing w:line="360" w:lineRule="auto"/>
            </w:pPr>
            <w:r>
              <w:rPr>
                <w:rFonts w:ascii="Times New Roman" w:hAnsi="Times New Roman" w:eastAsia="Times New Roman"/>
                <w:b w:val="0"/>
                <w:i w:val="0"/>
                <w:sz w:val="20"/>
              </w:rPr>
              <w:t>Лексико-</w:t>
              <w:br/>
              <w:t>граматичні</w:t>
              <w:br/>
              <w:t>ігри</w:t>
            </w:r>
          </w:p>
        </w:tc>
        <w:tc>
          <w:tcPr>
            <w:tcW w:type="dxa" w:w="1606"/>
          </w:tcPr>
          <w:p>
            <w:pPr>
              <w:jc w:val="center"/>
              <w:spacing w:line="360" w:lineRule="auto"/>
            </w:pPr>
            <w:r>
              <w:rPr>
                <w:rFonts w:ascii="Times New Roman" w:hAnsi="Times New Roman" w:eastAsia="Times New Roman"/>
                <w:b w:val="0"/>
                <w:i w:val="0"/>
                <w:sz w:val="20"/>
              </w:rPr>
              <w:t>Казко-</w:t>
              <w:br/>
              <w:t>терапія</w:t>
            </w:r>
          </w:p>
        </w:tc>
        <w:tc>
          <w:tcPr>
            <w:tcW w:type="dxa" w:w="1606"/>
          </w:tcPr>
          <w:p>
            <w:pPr>
              <w:jc w:val="center"/>
              <w:spacing w:line="360" w:lineRule="auto"/>
            </w:pPr>
            <w:r>
              <w:rPr>
                <w:rFonts w:ascii="Times New Roman" w:hAnsi="Times New Roman" w:eastAsia="Times New Roman"/>
                <w:b w:val="0"/>
                <w:i w:val="0"/>
                <w:sz w:val="20"/>
              </w:rPr>
              <w:t>Ізотерапія</w:t>
              <w:br/>
              <w:t>/ пісок</w:t>
            </w:r>
          </w:p>
        </w:tc>
        <w:tc>
          <w:tcPr>
            <w:tcW w:type="dxa" w:w="1606"/>
          </w:tcPr>
          <w:p>
            <w:pPr>
              <w:jc w:val="center"/>
              <w:spacing w:line="360" w:lineRule="auto"/>
            </w:pPr>
            <w:r>
              <w:rPr>
                <w:rFonts w:ascii="Times New Roman" w:hAnsi="Times New Roman" w:eastAsia="Times New Roman"/>
                <w:b w:val="0"/>
                <w:i w:val="0"/>
                <w:sz w:val="20"/>
              </w:rPr>
              <w:t>Музико-</w:t>
              <w:br/>
              <w:t>терапія</w:t>
            </w:r>
          </w:p>
        </w:tc>
        <w:tc>
          <w:tcPr>
            <w:tcW w:type="dxa" w:w="1606"/>
          </w:tcPr>
          <w:p>
            <w:pPr>
              <w:jc w:val="center"/>
              <w:spacing w:line="360" w:lineRule="auto"/>
            </w:pPr>
            <w:r>
              <w:rPr>
                <w:rFonts w:ascii="Times New Roman" w:hAnsi="Times New Roman" w:eastAsia="Times New Roman"/>
                <w:b w:val="0"/>
                <w:i w:val="0"/>
                <w:sz w:val="20"/>
              </w:rPr>
              <w:t>Ляльковий</w:t>
              <w:br/>
              <w:t>театр</w:t>
            </w:r>
          </w:p>
        </w:tc>
      </w:tr>
      <w:tr>
        <w:tc>
          <w:tcPr>
            <w:tcW w:type="dxa" w:w="9636"/>
            <w:gridSpan w:val="6"/>
          </w:tcPr>
          <w:p>
            <w:pPr>
              <w:jc w:val="center"/>
              <w:spacing w:line="360" w:lineRule="auto"/>
            </w:pPr>
            <w:r>
              <w:rPr>
                <w:rFonts w:ascii="Times New Roman" w:hAnsi="Times New Roman" w:eastAsia="Times New Roman"/>
                <w:b/>
                <w:i w:val="0"/>
                <w:sz w:val="22"/>
              </w:rPr>
              <w:t>ЗБЕРЕЖЕННЯ МОВЛЕННЄВОЇ КОМПЕТЕНТНОСТІ: фонетика · лексика · граматика · зв'язне мовлення · комунікація</w:t>
            </w:r>
          </w:p>
        </w:tc>
      </w:tr>
    </w:tbl>
    <w:p>
      <w:pPr>
        <w:ind w:firstLine="0"/>
        <w:jc w:val="center"/>
        <w:spacing w:line="360" w:lineRule="auto"/>
      </w:pPr>
      <w:r>
        <w:rPr>
          <w:rFonts w:ascii="Times New Roman" w:hAnsi="Times New Roman" w:eastAsia="Times New Roman"/>
          <w:b w:val="0"/>
          <w:i/>
          <w:sz w:val="28"/>
        </w:rPr>
        <w:t>Рис. 2.2 Система ігрових та арт-терапевтичних методів превенції мовленнєвих труднощів у старших дошкільників</w:t>
      </w:r>
    </w:p>
    <w:p>
      <w:pPr>
        <w:ind w:firstLine="709"/>
        <w:jc w:val="both"/>
        <w:spacing w:line="360" w:lineRule="auto"/>
      </w:pPr>
      <w:r>
        <w:rPr>
          <w:rFonts w:ascii="Times New Roman" w:hAnsi="Times New Roman" w:eastAsia="Times New Roman"/>
          <w:b w:val="0"/>
          <w:i w:val="0"/>
          <w:sz w:val="28"/>
        </w:rPr>
        <w:t>Отже, система ігрових та арт-терапевтичних методів є комплексним інструментом превенції мовленнєвих труднощів у старших дошкільників в умовах екстремальної невизначеності. Її ефективність визначається: природовідповідністю (відповідністю провідній діяльності дошкільника), поліфункціональністю (одночасним впливом на мовленнєву та емоційну сфери), доступністю для реалізації як у ЗДО, так і в домашніх умовах за участю батьків. Саме участь батьків як партнерів превентивного процесу є предметом наступного підрозділу.</w:t>
      </w:r>
    </w:p>
    <w:p>
      <w:pPr>
        <w:ind w:firstLine="0"/>
        <w:jc w:val="both"/>
        <w:spacing w:line="360" w:lineRule="auto"/>
      </w:pPr>
      <w:r>
        <w:rPr>
          <w:rFonts w:ascii="Times New Roman" w:hAnsi="Times New Roman" w:eastAsia="Times New Roman"/>
          <w:b/>
          <w:i w:val="0"/>
          <w:sz w:val="28"/>
        </w:rPr>
        <w:t>2.3.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val="0"/>
          <w:i w:val="0"/>
          <w:sz w:val="28"/>
        </w:rPr>
        <w:t>Сім'я є первинним і найважливішим середовищем мовленнєвого розвитку дитини дошкільного віку. Саме батьки формують основний масив мовленнєвих взаємодій дитини, визначають якість і кількість мовленнєвих стимулів та задають емоційний фон, на якому розгортається мовленнєвий розвиток [1; 9]. В умовах воєнного стану роль батьківської участі у превенції мовленнєвих труднощів різко зростає: часте переміщення родин, порушення режиму відвідування ЗДО, перехід на дистанційне навчання роблять батьків фактично головними реалізаторами превентивних заходів [13]. Водночас самі батьки переживають значний психологічний стрес, що знижує їхню здатність забезпечувати якісне мовленнєве середовище для дитини без додаткової підтримки з боку фахівців [25].</w:t>
      </w:r>
    </w:p>
    <w:p>
      <w:pPr>
        <w:ind w:firstLine="709"/>
        <w:jc w:val="both"/>
        <w:spacing w:line="360" w:lineRule="auto"/>
      </w:pPr>
      <w:r>
        <w:rPr>
          <w:rFonts w:ascii="Times New Roman" w:hAnsi="Times New Roman" w:eastAsia="Times New Roman"/>
          <w:b w:val="0"/>
          <w:i w:val="0"/>
          <w:sz w:val="28"/>
        </w:rPr>
        <w:t>Співпраця ЗДО з батьками в умовах невизначеності має відповідати принципу партнерства, що передбачає відмову від традиційної моделі «фахівець навчає батьків» на користь діалогічної взаємодії, де батьки є повноправними учасниками команди супроводу дитини [9; 43]. Т. І. Поніманська підкреслює, що партнерська взаємодія ЗДО і сім'ї ґрунтується на взаємній повазі, відкритості, конфіденційності та спільній відповідальності за результати розвитку дитини [28]. В умовах кризи до цих принципів додаються: доступність фахівця (можливість звернутися у будь-який зручний час, зокрема через месенджери), гнучкість форм взаємодії (онлайн та офлайн), психологічна підтримка самих батьків.</w:t>
      </w:r>
    </w:p>
    <w:p>
      <w:pPr>
        <w:ind w:firstLine="709"/>
        <w:jc w:val="both"/>
        <w:spacing w:line="360" w:lineRule="auto"/>
      </w:pPr>
      <w:r>
        <w:rPr>
          <w:rFonts w:ascii="Times New Roman" w:hAnsi="Times New Roman" w:eastAsia="Times New Roman"/>
          <w:b w:val="0"/>
          <w:i w:val="0"/>
          <w:sz w:val="28"/>
        </w:rPr>
        <w:t>О. В. Романенко та Т. О. Піроженко виокремлюють три блоки завдань у роботі ЗДО з батьками в контексті превенції мовленнєвих труднощів: інформаційно-просвітницький, навчально-практичний та психологічно-підтримуючий [26; 31]. Інформаційно-просвітницький блок передбачає надання батькам знань про норми мовленнєвого розвитку, ознаки ризику та прийоми стимуляції мовлення у домашніх умовах. Навчально-практичний блок включає тренінги, майстер-класи та відеоінструкції, що дозволяють батькам освоїти конкретні ігрові та арт-терапевтичні техніки. Психологічно-підтримуючий блок спрямований на зниження батьківської тривожності, формування «достатньо хорошого» батьківства в умовах стресу.</w:t>
      </w:r>
    </w:p>
    <w:p>
      <w:pPr>
        <w:ind w:firstLine="709"/>
        <w:jc w:val="both"/>
        <w:spacing w:line="360" w:lineRule="auto"/>
      </w:pPr>
      <w:r>
        <w:rPr>
          <w:rFonts w:ascii="Times New Roman" w:hAnsi="Times New Roman" w:eastAsia="Times New Roman"/>
          <w:b w:val="0"/>
          <w:i w:val="0"/>
          <w:sz w:val="28"/>
        </w:rPr>
        <w:t>Зміст та форми роботи ЗДО з батьками в системі превенції мовленнєвих труднощів залежно від блоку завдань систематизовано в таблиці 2.3.</w:t>
      </w:r>
    </w:p>
    <w:p>
      <w:pPr>
        <w:ind w:firstLine="0"/>
        <w:jc w:val="right"/>
        <w:spacing w:line="360" w:lineRule="auto"/>
      </w:pPr>
      <w:r>
        <w:rPr>
          <w:rFonts w:ascii="Times New Roman" w:hAnsi="Times New Roman" w:eastAsia="Times New Roman"/>
          <w:b w:val="0"/>
          <w:i w:val="0"/>
          <w:sz w:val="28"/>
        </w:rPr>
        <w:t>Таблиця 2.3</w:t>
      </w:r>
    </w:p>
    <w:p>
      <w:pPr>
        <w:ind w:firstLine="0"/>
        <w:jc w:val="center"/>
        <w:spacing w:line="360" w:lineRule="auto"/>
      </w:pPr>
      <w:r>
        <w:rPr>
          <w:rFonts w:ascii="Times New Roman" w:hAnsi="Times New Roman" w:eastAsia="Times New Roman"/>
          <w:b/>
          <w:i w:val="0"/>
          <w:sz w:val="28"/>
        </w:rPr>
        <w:t>Модель співпраці ЗДО з батьками у системі превенції мовленнєвих труднощів в умовах невизначеності</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 співпраці</w:t>
            </w:r>
          </w:p>
        </w:tc>
        <w:tc>
          <w:tcPr>
            <w:tcW w:type="dxa" w:w="2410"/>
          </w:tcPr>
          <w:p>
            <w:pPr>
              <w:jc w:val="center"/>
              <w:spacing w:line="360" w:lineRule="auto"/>
            </w:pPr>
            <w:r>
              <w:rPr>
                <w:rFonts w:ascii="Times New Roman" w:hAnsi="Times New Roman" w:eastAsia="Times New Roman"/>
                <w:b/>
                <w:i w:val="0"/>
                <w:sz w:val="24"/>
              </w:rPr>
              <w:t>Форми роботи</w:t>
            </w:r>
          </w:p>
        </w:tc>
        <w:tc>
          <w:tcPr>
            <w:tcW w:type="dxa" w:w="2410"/>
          </w:tcPr>
          <w:p>
            <w:pPr>
              <w:jc w:val="center"/>
              <w:spacing w:line="360" w:lineRule="auto"/>
            </w:pPr>
            <w:r>
              <w:rPr>
                <w:rFonts w:ascii="Times New Roman" w:hAnsi="Times New Roman" w:eastAsia="Times New Roman"/>
                <w:b/>
                <w:i w:val="0"/>
                <w:sz w:val="24"/>
              </w:rPr>
              <w:t>Зміст</w:t>
            </w:r>
          </w:p>
        </w:tc>
        <w:tc>
          <w:tcPr>
            <w:tcW w:type="dxa" w:w="2410"/>
          </w:tcPr>
          <w:p>
            <w:pPr>
              <w:jc w:val="center"/>
              <w:spacing w:line="360" w:lineRule="auto"/>
            </w:pPr>
            <w:r>
              <w:rPr>
                <w:rFonts w:ascii="Times New Roman" w:hAnsi="Times New Roman" w:eastAsia="Times New Roman"/>
                <w:b/>
                <w:i w:val="0"/>
                <w:sz w:val="24"/>
              </w:rPr>
              <w:t>Очікуваний результат</w:t>
            </w:r>
          </w:p>
        </w:tc>
      </w:tr>
      <w:tr>
        <w:tc>
          <w:tcPr>
            <w:tcW w:type="dxa" w:w="2410"/>
          </w:tcPr>
          <w:p>
            <w:pPr>
              <w:jc w:val="left"/>
              <w:spacing w:line="360" w:lineRule="auto"/>
            </w:pPr>
            <w:r>
              <w:rPr>
                <w:rFonts w:ascii="Times New Roman" w:hAnsi="Times New Roman" w:eastAsia="Times New Roman"/>
                <w:b w:val="0"/>
                <w:i w:val="0"/>
                <w:sz w:val="24"/>
              </w:rPr>
              <w:t>Інформаційно-</w:t>
              <w:br/>
              <w:t>просвітницький</w:t>
            </w:r>
          </w:p>
        </w:tc>
        <w:tc>
          <w:tcPr>
            <w:tcW w:type="dxa" w:w="2410"/>
          </w:tcPr>
          <w:p>
            <w:pPr>
              <w:jc w:val="left"/>
              <w:spacing w:line="360" w:lineRule="auto"/>
            </w:pPr>
            <w:r>
              <w:rPr>
                <w:rFonts w:ascii="Times New Roman" w:hAnsi="Times New Roman" w:eastAsia="Times New Roman"/>
                <w:b w:val="0"/>
                <w:i w:val="0"/>
                <w:sz w:val="24"/>
              </w:rPr>
              <w:t>Батьківські збори; буклети; відеолекції; чат-боти</w:t>
            </w:r>
          </w:p>
        </w:tc>
        <w:tc>
          <w:tcPr>
            <w:tcW w:type="dxa" w:w="2410"/>
          </w:tcPr>
          <w:p>
            <w:pPr>
              <w:jc w:val="left"/>
              <w:spacing w:line="360" w:lineRule="auto"/>
            </w:pPr>
            <w:r>
              <w:rPr>
                <w:rFonts w:ascii="Times New Roman" w:hAnsi="Times New Roman" w:eastAsia="Times New Roman"/>
                <w:b w:val="0"/>
                <w:i w:val="0"/>
                <w:sz w:val="24"/>
              </w:rPr>
              <w:t>Норми мовлення 5–7 років; ознаки ризику; коли звертатись до логопеда</w:t>
            </w:r>
          </w:p>
        </w:tc>
        <w:tc>
          <w:tcPr>
            <w:tcW w:type="dxa" w:w="2410"/>
          </w:tcPr>
          <w:p>
            <w:pPr>
              <w:jc w:val="left"/>
              <w:spacing w:line="360" w:lineRule="auto"/>
            </w:pPr>
            <w:r>
              <w:rPr>
                <w:rFonts w:ascii="Times New Roman" w:hAnsi="Times New Roman" w:eastAsia="Times New Roman"/>
                <w:b w:val="0"/>
                <w:i w:val="0"/>
                <w:sz w:val="24"/>
              </w:rPr>
              <w:t>Підвищення обізнаності; своєчасне звернення при тривожних симптомах</w:t>
            </w:r>
          </w:p>
        </w:tc>
      </w:tr>
      <w:tr>
        <w:tc>
          <w:tcPr>
            <w:tcW w:type="dxa" w:w="2410"/>
          </w:tcPr>
          <w:p>
            <w:pPr>
              <w:jc w:val="left"/>
              <w:spacing w:line="360" w:lineRule="auto"/>
            </w:pPr>
            <w:r>
              <w:rPr>
                <w:rFonts w:ascii="Times New Roman" w:hAnsi="Times New Roman" w:eastAsia="Times New Roman"/>
                <w:b w:val="0"/>
                <w:i w:val="0"/>
                <w:sz w:val="24"/>
              </w:rPr>
              <w:t>Навчально-</w:t>
              <w:br/>
              <w:t>практичний</w:t>
            </w:r>
          </w:p>
        </w:tc>
        <w:tc>
          <w:tcPr>
            <w:tcW w:type="dxa" w:w="2410"/>
          </w:tcPr>
          <w:p>
            <w:pPr>
              <w:jc w:val="left"/>
              <w:spacing w:line="360" w:lineRule="auto"/>
            </w:pPr>
            <w:r>
              <w:rPr>
                <w:rFonts w:ascii="Times New Roman" w:hAnsi="Times New Roman" w:eastAsia="Times New Roman"/>
                <w:b w:val="0"/>
                <w:i w:val="0"/>
                <w:sz w:val="24"/>
              </w:rPr>
              <w:t>Майстер-класи; відеоінструкції; «батьківська скринька» порад</w:t>
            </w:r>
          </w:p>
        </w:tc>
        <w:tc>
          <w:tcPr>
            <w:tcW w:type="dxa" w:w="2410"/>
          </w:tcPr>
          <w:p>
            <w:pPr>
              <w:jc w:val="left"/>
              <w:spacing w:line="360" w:lineRule="auto"/>
            </w:pPr>
            <w:r>
              <w:rPr>
                <w:rFonts w:ascii="Times New Roman" w:hAnsi="Times New Roman" w:eastAsia="Times New Roman"/>
                <w:b w:val="0"/>
                <w:i w:val="0"/>
                <w:sz w:val="24"/>
              </w:rPr>
              <w:t>Ігри для розвитку мовлення вдома; артикуляційна гімнастика; читання вголос</w:t>
            </w:r>
          </w:p>
        </w:tc>
        <w:tc>
          <w:tcPr>
            <w:tcW w:type="dxa" w:w="2410"/>
          </w:tcPr>
          <w:p>
            <w:pPr>
              <w:jc w:val="left"/>
              <w:spacing w:line="360" w:lineRule="auto"/>
            </w:pPr>
            <w:r>
              <w:rPr>
                <w:rFonts w:ascii="Times New Roman" w:hAnsi="Times New Roman" w:eastAsia="Times New Roman"/>
                <w:b w:val="0"/>
                <w:i w:val="0"/>
                <w:sz w:val="24"/>
              </w:rPr>
              <w:t>Засвоєння батьками конкретних прийомів стимуляції мовлення</w:t>
            </w:r>
          </w:p>
        </w:tc>
      </w:tr>
      <w:tr>
        <w:tc>
          <w:tcPr>
            <w:tcW w:type="dxa" w:w="2410"/>
          </w:tcPr>
          <w:p>
            <w:pPr>
              <w:jc w:val="left"/>
              <w:spacing w:line="360" w:lineRule="auto"/>
            </w:pPr>
            <w:r>
              <w:rPr>
                <w:rFonts w:ascii="Times New Roman" w:hAnsi="Times New Roman" w:eastAsia="Times New Roman"/>
                <w:b w:val="0"/>
                <w:i w:val="0"/>
                <w:sz w:val="24"/>
              </w:rPr>
              <w:t>Психологічно-</w:t>
              <w:br/>
              <w:t>підтримуючий</w:t>
            </w:r>
          </w:p>
        </w:tc>
        <w:tc>
          <w:tcPr>
            <w:tcW w:type="dxa" w:w="2410"/>
          </w:tcPr>
          <w:p>
            <w:pPr>
              <w:jc w:val="left"/>
              <w:spacing w:line="360" w:lineRule="auto"/>
            </w:pPr>
            <w:r>
              <w:rPr>
                <w:rFonts w:ascii="Times New Roman" w:hAnsi="Times New Roman" w:eastAsia="Times New Roman"/>
                <w:b w:val="0"/>
                <w:i w:val="0"/>
                <w:sz w:val="24"/>
              </w:rPr>
              <w:t>Групи взаємопідтримки; психологічні консультації; арт-сесії</w:t>
            </w:r>
          </w:p>
        </w:tc>
        <w:tc>
          <w:tcPr>
            <w:tcW w:type="dxa" w:w="2410"/>
          </w:tcPr>
          <w:p>
            <w:pPr>
              <w:jc w:val="left"/>
              <w:spacing w:line="360" w:lineRule="auto"/>
            </w:pPr>
            <w:r>
              <w:rPr>
                <w:rFonts w:ascii="Times New Roman" w:hAnsi="Times New Roman" w:eastAsia="Times New Roman"/>
                <w:b w:val="0"/>
                <w:i w:val="0"/>
                <w:sz w:val="24"/>
              </w:rPr>
              <w:t>Зниження батьківської тривоги; ресурсний стан; прийоми саморегуляції</w:t>
            </w:r>
          </w:p>
        </w:tc>
        <w:tc>
          <w:tcPr>
            <w:tcW w:type="dxa" w:w="2410"/>
          </w:tcPr>
          <w:p>
            <w:pPr>
              <w:jc w:val="left"/>
              <w:spacing w:line="360" w:lineRule="auto"/>
            </w:pPr>
            <w:r>
              <w:rPr>
                <w:rFonts w:ascii="Times New Roman" w:hAnsi="Times New Roman" w:eastAsia="Times New Roman"/>
                <w:b w:val="0"/>
                <w:i w:val="0"/>
                <w:sz w:val="24"/>
              </w:rPr>
              <w:t>Стабільний емоційний фон у родині як умова мовленнєвого розвитку</w:t>
            </w:r>
          </w:p>
        </w:tc>
      </w:tr>
      <w:tr>
        <w:tc>
          <w:tcPr>
            <w:tcW w:type="dxa" w:w="2410"/>
          </w:tcPr>
          <w:p>
            <w:pPr>
              <w:jc w:val="left"/>
              <w:spacing w:line="360" w:lineRule="auto"/>
            </w:pPr>
            <w:r>
              <w:rPr>
                <w:rFonts w:ascii="Times New Roman" w:hAnsi="Times New Roman" w:eastAsia="Times New Roman"/>
                <w:b w:val="0"/>
                <w:i w:val="0"/>
                <w:sz w:val="24"/>
              </w:rPr>
              <w:t>Моніторинговий</w:t>
            </w:r>
          </w:p>
        </w:tc>
        <w:tc>
          <w:tcPr>
            <w:tcW w:type="dxa" w:w="2410"/>
          </w:tcPr>
          <w:p>
            <w:pPr>
              <w:jc w:val="left"/>
              <w:spacing w:line="360" w:lineRule="auto"/>
            </w:pPr>
            <w:r>
              <w:rPr>
                <w:rFonts w:ascii="Times New Roman" w:hAnsi="Times New Roman" w:eastAsia="Times New Roman"/>
                <w:b w:val="0"/>
                <w:i w:val="0"/>
                <w:sz w:val="24"/>
              </w:rPr>
              <w:t>Анкети; спостережні аркуші; щоденники розвитку; онлайн-зустрічі</w:t>
            </w:r>
          </w:p>
        </w:tc>
        <w:tc>
          <w:tcPr>
            <w:tcW w:type="dxa" w:w="2410"/>
          </w:tcPr>
          <w:p>
            <w:pPr>
              <w:jc w:val="left"/>
              <w:spacing w:line="360" w:lineRule="auto"/>
            </w:pPr>
            <w:r>
              <w:rPr>
                <w:rFonts w:ascii="Times New Roman" w:hAnsi="Times New Roman" w:eastAsia="Times New Roman"/>
                <w:b w:val="0"/>
                <w:i w:val="0"/>
                <w:sz w:val="24"/>
              </w:rPr>
              <w:t>Відстеження динаміки мовлення вдома; сигнальні ознаки регресії</w:t>
            </w:r>
          </w:p>
        </w:tc>
        <w:tc>
          <w:tcPr>
            <w:tcW w:type="dxa" w:w="2410"/>
          </w:tcPr>
          <w:p>
            <w:pPr>
              <w:jc w:val="left"/>
              <w:spacing w:line="360" w:lineRule="auto"/>
            </w:pPr>
            <w:r>
              <w:rPr>
                <w:rFonts w:ascii="Times New Roman" w:hAnsi="Times New Roman" w:eastAsia="Times New Roman"/>
                <w:b w:val="0"/>
                <w:i w:val="0"/>
                <w:sz w:val="24"/>
              </w:rPr>
              <w:t>Спільна база даних для корекції превентивної програми</w:t>
            </w:r>
          </w:p>
        </w:tc>
      </w:tr>
      <w:tr>
        <w:tc>
          <w:tcPr>
            <w:tcW w:type="dxa" w:w="2410"/>
          </w:tcPr>
          <w:p>
            <w:pPr>
              <w:jc w:val="left"/>
              <w:spacing w:line="360" w:lineRule="auto"/>
            </w:pPr>
            <w:r>
              <w:rPr>
                <w:rFonts w:ascii="Times New Roman" w:hAnsi="Times New Roman" w:eastAsia="Times New Roman"/>
                <w:b w:val="0"/>
                <w:i w:val="0"/>
                <w:sz w:val="24"/>
              </w:rPr>
              <w:t>Командної</w:t>
              <w:br/>
              <w:t>взаємодії</w:t>
            </w:r>
          </w:p>
        </w:tc>
        <w:tc>
          <w:tcPr>
            <w:tcW w:type="dxa" w:w="2410"/>
          </w:tcPr>
          <w:p>
            <w:pPr>
              <w:jc w:val="left"/>
              <w:spacing w:line="360" w:lineRule="auto"/>
            </w:pPr>
            <w:r>
              <w:rPr>
                <w:rFonts w:ascii="Times New Roman" w:hAnsi="Times New Roman" w:eastAsia="Times New Roman"/>
                <w:b w:val="0"/>
                <w:i w:val="0"/>
                <w:sz w:val="24"/>
              </w:rPr>
              <w:t>Консиліуми; ІПР; мультидисциплінарні наради</w:t>
            </w:r>
          </w:p>
        </w:tc>
        <w:tc>
          <w:tcPr>
            <w:tcW w:type="dxa" w:w="2410"/>
          </w:tcPr>
          <w:p>
            <w:pPr>
              <w:jc w:val="left"/>
              <w:spacing w:line="360" w:lineRule="auto"/>
            </w:pPr>
            <w:r>
              <w:rPr>
                <w:rFonts w:ascii="Times New Roman" w:hAnsi="Times New Roman" w:eastAsia="Times New Roman"/>
                <w:b w:val="0"/>
                <w:i w:val="0"/>
                <w:sz w:val="24"/>
              </w:rPr>
              <w:t>Узгодження цілей логопеда, психолога, педагога та батьків</w:t>
            </w:r>
          </w:p>
        </w:tc>
        <w:tc>
          <w:tcPr>
            <w:tcW w:type="dxa" w:w="2410"/>
          </w:tcPr>
          <w:p>
            <w:pPr>
              <w:jc w:val="left"/>
              <w:spacing w:line="360" w:lineRule="auto"/>
            </w:pPr>
            <w:r>
              <w:rPr>
                <w:rFonts w:ascii="Times New Roman" w:hAnsi="Times New Roman" w:eastAsia="Times New Roman"/>
                <w:b w:val="0"/>
                <w:i w:val="0"/>
                <w:sz w:val="24"/>
              </w:rPr>
              <w:t>Цілісний індивідуалізований супровід кожної дитини</w:t>
            </w:r>
          </w:p>
        </w:tc>
      </w:tr>
      <w:tr>
        <w:tc>
          <w:tcPr>
            <w:tcW w:type="dxa" w:w="2410"/>
          </w:tcPr>
          <w:p>
            <w:pPr>
              <w:jc w:val="left"/>
              <w:spacing w:line="360" w:lineRule="auto"/>
            </w:pPr>
            <w:r>
              <w:rPr>
                <w:rFonts w:ascii="Times New Roman" w:hAnsi="Times New Roman" w:eastAsia="Times New Roman"/>
                <w:b w:val="0"/>
                <w:i w:val="0"/>
                <w:sz w:val="24"/>
              </w:rPr>
              <w:t>Дистанційний</w:t>
              <w:br/>
              <w:t>(кризовий)</w:t>
            </w:r>
          </w:p>
        </w:tc>
        <w:tc>
          <w:tcPr>
            <w:tcW w:type="dxa" w:w="2410"/>
          </w:tcPr>
          <w:p>
            <w:pPr>
              <w:jc w:val="left"/>
              <w:spacing w:line="360" w:lineRule="auto"/>
            </w:pPr>
            <w:r>
              <w:rPr>
                <w:rFonts w:ascii="Times New Roman" w:hAnsi="Times New Roman" w:eastAsia="Times New Roman"/>
                <w:b w:val="0"/>
                <w:i w:val="0"/>
                <w:sz w:val="24"/>
              </w:rPr>
              <w:t>Месенджери; відеодзвінки; онлайн-заняття; е-портфоліо</w:t>
            </w:r>
          </w:p>
        </w:tc>
        <w:tc>
          <w:tcPr>
            <w:tcW w:type="dxa" w:w="2410"/>
          </w:tcPr>
          <w:p>
            <w:pPr>
              <w:jc w:val="left"/>
              <w:spacing w:line="360" w:lineRule="auto"/>
            </w:pPr>
            <w:r>
              <w:rPr>
                <w:rFonts w:ascii="Times New Roman" w:hAnsi="Times New Roman" w:eastAsia="Times New Roman"/>
                <w:b w:val="0"/>
                <w:i w:val="0"/>
                <w:sz w:val="24"/>
              </w:rPr>
              <w:t>Забезпечення безперервності превентивної роботи при евакуації / переміщенні</w:t>
            </w:r>
          </w:p>
        </w:tc>
        <w:tc>
          <w:tcPr>
            <w:tcW w:type="dxa" w:w="2410"/>
          </w:tcPr>
          <w:p>
            <w:pPr>
              <w:jc w:val="left"/>
              <w:spacing w:line="360" w:lineRule="auto"/>
            </w:pPr>
            <w:r>
              <w:rPr>
                <w:rFonts w:ascii="Times New Roman" w:hAnsi="Times New Roman" w:eastAsia="Times New Roman"/>
                <w:b w:val="0"/>
                <w:i w:val="0"/>
                <w:sz w:val="24"/>
              </w:rPr>
              <w:t>Неперервність супроводу незалежно від місця перебування родини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9; 13; 25; 26; 28; 31; 43].</w:t>
      </w:r>
    </w:p>
    <w:p>
      <w:pPr>
        <w:ind w:firstLine="709"/>
        <w:jc w:val="both"/>
        <w:spacing w:line="360" w:lineRule="auto"/>
      </w:pPr>
      <w:r>
        <w:rPr>
          <w:rFonts w:ascii="Times New Roman" w:hAnsi="Times New Roman" w:eastAsia="Times New Roman"/>
          <w:b w:val="0"/>
          <w:i w:val="0"/>
          <w:sz w:val="28"/>
        </w:rPr>
        <w:t>Особливої уваги в умовах воєнного стану заслуговує дистанційний формат взаємодії ЗДО з батьками. Л. І. Прохоренко та В. В. Тарасун наголошують, що цифрові інструменти – месенджери, платформи відеозв'язку, електронні портфоліо – здатні не лише компенсувати відсутність очного контакту, а й розширити можливості моніторингу завдяки аудіо- та відеозаписам мовлення дитини, які батьки надсилають фахівцю [30; 37]. Важливою умовою ефективності дистанційної взаємодії є регулярність контактів: навіть у кризових умовах фахівець має підтримувати зв'язок із родиною щонайменше раз на тиждень, щоб вчасно реагувати на зміни у стані дитини.</w:t>
      </w:r>
    </w:p>
    <w:p>
      <w:pPr>
        <w:ind w:firstLine="709"/>
        <w:jc w:val="both"/>
        <w:spacing w:line="360" w:lineRule="auto"/>
      </w:pPr>
      <w:r>
        <w:rPr>
          <w:rFonts w:ascii="Times New Roman" w:hAnsi="Times New Roman" w:eastAsia="Times New Roman"/>
          <w:b w:val="0"/>
          <w:i w:val="0"/>
          <w:sz w:val="28"/>
        </w:rPr>
        <w:t>Н. В. Чередниченко та А. Ю. Татаринцева звертають увагу на феномен «вторинної травматизації» батьків – стану, за якого хронічний стрес батьків сам по собі стає фактором ризику для мовленнєвого розвитку дитини [40; 43]. Тому психологічна підтримка батьків є не опційним, а обов'язковим компонентом превентивної моделі. Групи взаємопідтримки батьків, що функціонують на базі ЗДО або в онлайн-форматі, виконують одночасно психотерапевтичну та освітню функції, об'єднуючи батьків, котрі переживають схожі труднощі, та надаючи їм ресурси для якісної взаємодії з дітьми.</w:t>
      </w:r>
    </w:p>
    <w:p>
      <w:pPr>
        <w:ind w:firstLine="709"/>
        <w:jc w:val="both"/>
        <w:spacing w:line="360" w:lineRule="auto"/>
      </w:pPr>
      <w:r>
        <w:rPr>
          <w:rFonts w:ascii="Times New Roman" w:hAnsi="Times New Roman" w:eastAsia="Times New Roman"/>
          <w:b w:val="0"/>
          <w:i w:val="0"/>
          <w:sz w:val="28"/>
        </w:rPr>
        <w:t>Структурну модель співпраці ЗДО з батьками в системі превенції мовленнєвих труднощів представлено на рис. 2.3.</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МОДЕЛЬ ПАРТНЕРСЬКОЇ СПІВПРАЦІ ЗДО І СІМ'Ї У ПРЕВЕНЦІЇ МОВЛЕННЄВИХ ТРУДНОЩІВ</w:t>
            </w:r>
          </w:p>
        </w:tc>
      </w:tr>
      <w:tr>
        <w:tc>
          <w:tcPr>
            <w:tcW w:type="dxa" w:w="3213"/>
          </w:tcPr>
          <w:p>
            <w:pPr>
              <w:jc w:val="center"/>
              <w:spacing w:line="360" w:lineRule="auto"/>
            </w:pPr>
            <w:r>
              <w:rPr>
                <w:rFonts w:ascii="Times New Roman" w:hAnsi="Times New Roman" w:eastAsia="Times New Roman"/>
                <w:b w:val="0"/>
                <w:i w:val="0"/>
                <w:sz w:val="22"/>
              </w:rPr>
              <w:t>ЗАКЛАД ДОШКІЛЬНОЇ ОСВІТИ</w:t>
              <w:br/>
              <w:t>Логопед · Психолог</w:t>
              <w:br/>
              <w:t>Вихователь · Адміністрація</w:t>
            </w:r>
          </w:p>
        </w:tc>
        <w:tc>
          <w:tcPr>
            <w:tcW w:type="dxa" w:w="3213"/>
          </w:tcPr>
          <w:p>
            <w:pPr>
              <w:jc w:val="center"/>
              <w:spacing w:line="360" w:lineRule="auto"/>
            </w:pPr>
            <w:r>
              <w:rPr>
                <w:rFonts w:ascii="Times New Roman" w:hAnsi="Times New Roman" w:eastAsia="Times New Roman"/>
                <w:b w:val="0"/>
                <w:i w:val="0"/>
                <w:sz w:val="22"/>
              </w:rPr>
              <w:t>ФОРМИ ВЗАЄМОДІЇ</w:t>
              <w:br/>
              <w:t>Офлайн і онлайн зустрічі</w:t>
              <w:br/>
              <w:t>Майстер-класи · Месенджери</w:t>
              <w:br/>
              <w:t>ІПРП · Моніторинг</w:t>
            </w:r>
          </w:p>
        </w:tc>
        <w:tc>
          <w:tcPr>
            <w:tcW w:type="dxa" w:w="3213"/>
          </w:tcPr>
          <w:p>
            <w:pPr>
              <w:jc w:val="center"/>
              <w:spacing w:line="360" w:lineRule="auto"/>
            </w:pPr>
            <w:r>
              <w:rPr>
                <w:rFonts w:ascii="Times New Roman" w:hAnsi="Times New Roman" w:eastAsia="Times New Roman"/>
                <w:b w:val="0"/>
                <w:i w:val="0"/>
                <w:sz w:val="22"/>
              </w:rPr>
              <w:t>СІМ'Я</w:t>
              <w:br/>
              <w:t>Батьки / опікуни</w:t>
              <w:br/>
              <w:t>Дитина</w:t>
              <w:br/>
              <w:t>Домашнє середовище</w:t>
            </w:r>
          </w:p>
        </w:tc>
      </w:tr>
      <w:tr>
        <w:tc>
          <w:tcPr>
            <w:tcW w:type="dxa" w:w="9639"/>
            <w:gridSpan w:val="3"/>
          </w:tcPr>
          <w:p>
            <w:pPr>
              <w:jc w:val="center"/>
              <w:spacing w:line="360" w:lineRule="auto"/>
            </w:pPr>
            <w:r>
              <w:rPr>
                <w:rFonts w:ascii="Times New Roman" w:hAnsi="Times New Roman" w:eastAsia="Times New Roman"/>
                <w:b w:val="0"/>
                <w:i w:val="0"/>
                <w:sz w:val="22"/>
              </w:rPr>
              <w:t>Принципи: партнерство · конфіденційність · доступність · безперервність · індивідуалізація</w:t>
            </w:r>
          </w:p>
        </w:tc>
      </w:tr>
      <w:tr>
        <w:tc>
          <w:tcPr>
            <w:tcW w:type="dxa" w:w="9639"/>
            <w:gridSpan w:val="3"/>
          </w:tcPr>
          <w:p>
            <w:pPr>
              <w:jc w:val="center"/>
              <w:spacing w:line="360" w:lineRule="auto"/>
            </w:pPr>
            <w:r>
              <w:rPr>
                <w:rFonts w:ascii="Times New Roman" w:hAnsi="Times New Roman" w:eastAsia="Times New Roman"/>
                <w:b/>
                <w:i w:val="0"/>
                <w:sz w:val="22"/>
              </w:rPr>
              <w:t>РЕЗУЛЬТАТ: стабільне мовленнєве середовище для дитини незалежно від умов воєнного стану</w:t>
            </w:r>
          </w:p>
        </w:tc>
      </w:tr>
    </w:tbl>
    <w:p>
      <w:pPr>
        <w:ind w:firstLine="0"/>
        <w:jc w:val="center"/>
        <w:spacing w:line="360" w:lineRule="auto"/>
      </w:pPr>
      <w:r>
        <w:rPr>
          <w:rFonts w:ascii="Times New Roman" w:hAnsi="Times New Roman" w:eastAsia="Times New Roman"/>
          <w:b w:val="0"/>
          <w:i/>
          <w:sz w:val="28"/>
        </w:rPr>
        <w:t>Рис. 2.3 Модель партнерської співпраці ЗДО і сім'ї у системі превенції мовленнєвих труднощів в умовах невизначеності</w:t>
      </w:r>
    </w:p>
    <w:p>
      <w:pPr>
        <w:ind w:firstLine="709"/>
        <w:jc w:val="both"/>
        <w:spacing w:line="360" w:lineRule="auto"/>
      </w:pPr>
      <w:r>
        <w:rPr>
          <w:rFonts w:ascii="Times New Roman" w:hAnsi="Times New Roman" w:eastAsia="Times New Roman"/>
          <w:b w:val="0"/>
          <w:i w:val="0"/>
          <w:sz w:val="28"/>
        </w:rPr>
        <w:t>Таким чином, ефективна модель співпраці ЗДО з батьками в умовах невизначеності є багатокомпонентною і поєднує просвітницький, навчально-практичний, психологічно-підтримуючий, моніторинговий та дистанційний блоки. Її реалізація потребує від педагогічного колективу ЗДО гнучкості, готовності до дистанційної взаємодії та розуміння психологічного стану батьків як умови ефективного превентивного партнерства. Впровадження такої моделі в практику роботи ЗДО в умовах воєнного стану забезпечує системний та безперервний характер превенції мовленнєвих труднощів у старших дошкільників, що є ключовою умовою її результативності.</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ВИСНОВКИ</w:t>
      </w:r>
    </w:p>
    <w:p>
      <w:pPr>
        <w:ind w:firstLine="709"/>
        <w:jc w:val="both"/>
        <w:spacing w:line="360" w:lineRule="auto"/>
      </w:pPr>
      <w:r>
        <w:rPr>
          <w:rFonts w:ascii="Times New Roman" w:hAnsi="Times New Roman" w:eastAsia="Times New Roman"/>
          <w:b w:val="0"/>
          <w:i w:val="0"/>
          <w:sz w:val="28"/>
        </w:rPr>
        <w:t>Проведене дослідження підтвердило актуальність і практичну значущість проблеми превенції труднощів мовлення у дітей старшого дошкільного віку в умовах екстремальної невизначеності. На основі теоретичного аналізу наукової літератури та розробки практичної моделі превентивної роботи було сформульовано такі висновки.</w:t>
      </w:r>
    </w:p>
    <w:p>
      <w:pPr>
        <w:ind w:firstLine="709"/>
        <w:jc w:val="both"/>
        <w:spacing w:line="360" w:lineRule="auto"/>
      </w:pPr>
      <w:r>
        <w:rPr>
          <w:rFonts w:ascii="Times New Roman" w:hAnsi="Times New Roman" w:eastAsia="Times New Roman"/>
          <w:b/>
          <w:i w:val="0"/>
          <w:sz w:val="28"/>
        </w:rPr>
        <w:t xml:space="preserve">1. </w:t>
      </w:r>
      <w:r>
        <w:rPr>
          <w:rFonts w:ascii="Times New Roman" w:hAnsi="Times New Roman" w:eastAsia="Times New Roman"/>
          <w:b w:val="0"/>
          <w:i w:val="0"/>
          <w:sz w:val="28"/>
        </w:rPr>
        <w:t>Старший дошкільний вік (5–7 років) є сенситивним періодом для формування мовленнєвої компетентності в усіх її складових – фонетико-фонематичній, лексичній, граматичній, зв'язному мовленні та комунікативній. Психолінгвістичний аналіз у концепціях Л. С. Виготського, О. Р. Лурії, О. А. Леонтьєва та А. М. Богуш засвідчує, що мовленнєвий розвиток дошкільника є нерозривно пов'язаним із загальним психічним розвитком, соціальною взаємодією та емоційним благополуччям дитини. Будь-які несприятливі зовнішні чинники у цей період здатні суттєво порушити природний перебіг мовленнєвого розвитку, що обумовлює необхідність його превентивного захисту.</w:t>
      </w:r>
    </w:p>
    <w:p>
      <w:pPr>
        <w:ind w:firstLine="709"/>
        <w:jc w:val="both"/>
        <w:spacing w:line="360" w:lineRule="auto"/>
      </w:pPr>
      <w:r>
        <w:rPr>
          <w:rFonts w:ascii="Times New Roman" w:hAnsi="Times New Roman" w:eastAsia="Times New Roman"/>
          <w:b/>
          <w:i w:val="0"/>
          <w:sz w:val="28"/>
        </w:rPr>
        <w:t xml:space="preserve">2. </w:t>
      </w:r>
      <w:r>
        <w:rPr>
          <w:rFonts w:ascii="Times New Roman" w:hAnsi="Times New Roman" w:eastAsia="Times New Roman"/>
          <w:b w:val="0"/>
          <w:i w:val="0"/>
          <w:sz w:val="28"/>
        </w:rPr>
        <w:t>Феномен «екстремальної невизначеності» в умовах повномасштабного збройного конфлікту справляє багаторівневий негативний вплив на когнітивну та мовленнєву сфери дитини. На нейрофізіологічному рівні хронічний стрес пригнічує функції префронтальної кори та гіпокампа, необхідні для засвоєння мовленнєвих навичок. На когнітивному рівні спостерігаються порушення уваги, пам'яті та символічного мислення – безпосередніх передумов мовленнєвого розвитку. На комунікативному рівні фіксуються соціальне уникнення, зниження мовленнєвої ініціативності та регресія до ранніх форм мовлення (мутизм, ехолалія). Розуміння цих механізмів є ключовою умовою для науково обґрунтованої превентивної роботи з дітьми в умовах воєнного часу.</w:t>
      </w:r>
    </w:p>
    <w:p>
      <w:pPr>
        <w:ind w:firstLine="709"/>
        <w:jc w:val="both"/>
        <w:spacing w:line="360" w:lineRule="auto"/>
      </w:pPr>
      <w:r>
        <w:rPr>
          <w:rFonts w:ascii="Times New Roman" w:hAnsi="Times New Roman" w:eastAsia="Times New Roman"/>
          <w:b/>
          <w:i w:val="0"/>
          <w:sz w:val="28"/>
        </w:rPr>
        <w:t xml:space="preserve">3. </w:t>
      </w:r>
      <w:r>
        <w:rPr>
          <w:rFonts w:ascii="Times New Roman" w:hAnsi="Times New Roman" w:eastAsia="Times New Roman"/>
          <w:b w:val="0"/>
          <w:i w:val="0"/>
          <w:sz w:val="28"/>
        </w:rPr>
        <w:t>Аналіз сучасної логопсихології дозволив виокремити п'ять основних наукових підходів до превенції мовленнєвих труднощів: нейропсихологічний, комунікативно-діяльнісний, психотерапевтично-орієнтований, системно-превентивний та еколого-середовищний. Жоден із них не є самодостатнім: ефективна превенція в умовах екстремальної невизначеності потребує їх інтеграції, яка забезпечує комплексний вплив на всі рівні ризику – нейробіологічний, когнітивний, емоційний і соціально-комунікативний.</w:t>
      </w:r>
    </w:p>
    <w:p>
      <w:pPr>
        <w:ind w:firstLine="709"/>
        <w:jc w:val="both"/>
        <w:spacing w:line="360" w:lineRule="auto"/>
      </w:pPr>
      <w:r>
        <w:rPr>
          <w:rFonts w:ascii="Times New Roman" w:hAnsi="Times New Roman" w:eastAsia="Times New Roman"/>
          <w:b/>
          <w:i w:val="0"/>
          <w:sz w:val="28"/>
        </w:rPr>
        <w:t xml:space="preserve">4. </w:t>
      </w:r>
      <w:r>
        <w:rPr>
          <w:rFonts w:ascii="Times New Roman" w:hAnsi="Times New Roman" w:eastAsia="Times New Roman"/>
          <w:b w:val="0"/>
          <w:i w:val="0"/>
          <w:sz w:val="28"/>
        </w:rPr>
        <w:t>Комплексний моніторинг мовленнєвих і немовленнєвих процесів у дітей у кризових умовах є необхідною передумовою ефективної превенції. Запропонована трирівнева модель моніторингу (масовий скринінг педагогом, поглиблена діагностика логопедом, командний супровід) передбачає відмову від формалізованого тестування на користь «м'якого» спостереження у природних ситуаціях, використання методу портфоліо розвитку та обов'язкове залучення батьків. Скорочення інтервалів між скринінговими процедурами до одного місяця (для дітей групи ризику – щотижневе спостереження) забезпечує своєчасне виявлення динаміки стану дитини.</w:t>
      </w:r>
    </w:p>
    <w:p>
      <w:pPr>
        <w:ind w:firstLine="709"/>
        <w:jc w:val="both"/>
        <w:spacing w:line="360" w:lineRule="auto"/>
      </w:pPr>
      <w:r>
        <w:rPr>
          <w:rFonts w:ascii="Times New Roman" w:hAnsi="Times New Roman" w:eastAsia="Times New Roman"/>
          <w:b/>
          <w:i w:val="0"/>
          <w:sz w:val="28"/>
        </w:rPr>
        <w:t xml:space="preserve">5. </w:t>
      </w:r>
      <w:r>
        <w:rPr>
          <w:rFonts w:ascii="Times New Roman" w:hAnsi="Times New Roman" w:eastAsia="Times New Roman"/>
          <w:b w:val="0"/>
          <w:i w:val="0"/>
          <w:sz w:val="28"/>
        </w:rPr>
        <w:t>Система ігрових та арт-терапевтичних методів є провідним інструментарієм превентивної роботи з мовлення в умовах екстремальної невизначеності. Її ефективність визначається природовідповідністю (відповідністю провідній ігровій діяльності дошкільника), поліфункціональністю (одночасним впливом на мовленнєву та емоційну сфери) та доступністю для реалізації як у ЗДО, так і в домашніх умовах. Особливу роль відіграють казкотерапія (підтримка нарративних навичок), пісочна терапія (сенсорна інтеграція і дрібна моторика), музикотерапія (ритмічна стимуляція мовленнєвих зон мозку) та ляльковий театр (збереження комунікативної функції мовлення).</w:t>
      </w:r>
    </w:p>
    <w:p>
      <w:pPr>
        <w:ind w:firstLine="709"/>
        <w:jc w:val="both"/>
        <w:spacing w:line="360" w:lineRule="auto"/>
      </w:pPr>
      <w:r>
        <w:rPr>
          <w:rFonts w:ascii="Times New Roman" w:hAnsi="Times New Roman" w:eastAsia="Times New Roman"/>
          <w:b/>
          <w:i w:val="0"/>
          <w:sz w:val="28"/>
        </w:rPr>
        <w:t xml:space="preserve">6. </w:t>
      </w:r>
      <w:r>
        <w:rPr>
          <w:rFonts w:ascii="Times New Roman" w:hAnsi="Times New Roman" w:eastAsia="Times New Roman"/>
          <w:b w:val="0"/>
          <w:i w:val="0"/>
          <w:sz w:val="28"/>
        </w:rPr>
        <w:t>Модель партнерської співпраці ЗДО з батьками в умовах невизначеності є багатокомпонентною і включає шість блоків: інформаційно-просвітницький, навчально-практичний, психологічно-підтримуючий, моніторинговий, командної взаємодії та дистанційний. Принципово важливим є психологічна підтримка самих батьків як умова профілактики «вторинної травматизації», що безпосередньо позначається на якості мовленнєвого середовища для дитини. Цифрові інструменти взаємодії забезпечують безперервність превентивного супроводу навіть в умовах вимушеного переміщення родин.</w:t>
      </w:r>
    </w:p>
    <w:p>
      <w:pPr>
        <w:ind w:firstLine="709"/>
        <w:jc w:val="both"/>
        <w:spacing w:line="360" w:lineRule="auto"/>
      </w:pPr>
      <w:r>
        <w:rPr>
          <w:rFonts w:ascii="Times New Roman" w:hAnsi="Times New Roman" w:eastAsia="Times New Roman"/>
          <w:b w:val="0"/>
          <w:i w:val="0"/>
          <w:sz w:val="28"/>
        </w:rPr>
        <w:t>Практична значущість дослідження полягає в тому, що розроблені теоретико-методичні засади інтегрованої превентивної роботи можуть бути використані логопедами, психологами та вихователями ЗДО для організації системної превенції мовленнєвих порушень у дітей старшого дошкільного віку в умовах воєнного стану. Запропонована модель є гнучкою і може адаптуватися до конкретних умов роботи закладу – очного, дистанційного або змішаного формату.</w:t>
      </w:r>
    </w:p>
    <w:p>
      <w:pPr>
        <w:ind w:firstLine="709"/>
        <w:jc w:val="both"/>
        <w:spacing w:line="360" w:lineRule="auto"/>
      </w:pPr>
      <w:r>
        <w:rPr>
          <w:rFonts w:ascii="Times New Roman" w:hAnsi="Times New Roman" w:eastAsia="Times New Roman"/>
          <w:b w:val="0"/>
          <w:i w:val="0"/>
          <w:sz w:val="28"/>
        </w:rPr>
        <w:t>Перспективами подальших досліджень є: емпірична апробація запропонованої моделі моніторингу в умовах конкретних ЗДО; розробка та верифікація авторського скринінгового інструментарію для оцінки мовленнєвого стану дошкільників у кризових умовах; дослідження довгострокових наслідків воєнного стресу для мовленнєвого розвитку дітей і розробка відповідних корекційних програм.</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СПИСОК ВИКОРИСТАНИХ ДЖЕРЕЛ</w:t>
      </w:r>
    </w:p>
    <w:p>
      <w:pPr>
        <w:ind w:firstLine="0"/>
        <w:jc w:val="both"/>
        <w:spacing w:line="360" w:lineRule="auto"/>
      </w:pPr>
      <w:r>
        <w:rPr>
          <w:rFonts w:ascii="Times New Roman" w:hAnsi="Times New Roman" w:eastAsia="Times New Roman"/>
          <w:b w:val="0"/>
          <w:i w:val="0"/>
          <w:sz w:val="28"/>
        </w:rPr>
        <w:t>1. Богуш А. М. Дошкільна лінгводидактика: теорія і методика навчання дітей рідної мови : підручник / А. М. Богуш, Н. В. Гавриш. – Вид. 2-ге. – Київ : Вища школа, 2007. – 542 с.</w:t>
      </w:r>
    </w:p>
    <w:p>
      <w:pPr>
        <w:ind w:firstLine="0"/>
        <w:jc w:val="both"/>
        <w:spacing w:line="360" w:lineRule="auto"/>
      </w:pPr>
      <w:r>
        <w:rPr>
          <w:rFonts w:ascii="Times New Roman" w:hAnsi="Times New Roman" w:eastAsia="Times New Roman"/>
          <w:b w:val="0"/>
          <w:i w:val="0"/>
          <w:sz w:val="28"/>
        </w:rPr>
        <w:t>2. Виготський Л. С. Мислення і мовлення / Л. С. Виготський ; пер. з рос. – Харків : Основа, 1996. – 414 с.</w:t>
      </w:r>
    </w:p>
    <w:p>
      <w:pPr>
        <w:ind w:firstLine="0"/>
        <w:jc w:val="both"/>
        <w:spacing w:line="360" w:lineRule="auto"/>
      </w:pPr>
      <w:r>
        <w:rPr>
          <w:rFonts w:ascii="Times New Roman" w:hAnsi="Times New Roman" w:eastAsia="Times New Roman"/>
          <w:b w:val="0"/>
          <w:i w:val="0"/>
          <w:sz w:val="28"/>
        </w:rPr>
        <w:t>3. Власюк О. О. Особливості логопедичного супроводу дітей-внутрішніх переселенців у закладах дошкільної освіти / О. О. Власюк // Корекційна педагогіка і психологія. – 2023. – № 2. – С. 5–14.</w:t>
      </w:r>
    </w:p>
    <w:p>
      <w:pPr>
        <w:ind w:firstLine="0"/>
        <w:jc w:val="both"/>
        <w:spacing w:line="360" w:lineRule="auto"/>
      </w:pPr>
      <w:r>
        <w:rPr>
          <w:rFonts w:ascii="Times New Roman" w:hAnsi="Times New Roman" w:eastAsia="Times New Roman"/>
          <w:b w:val="0"/>
          <w:i w:val="0"/>
          <w:sz w:val="28"/>
        </w:rPr>
        <w:t>4. Глухов В. П. Основи психолінгвістики / В. П. Глухов. – Москва : АСТ : Астрель, 2005. – 351 с.</w:t>
      </w:r>
    </w:p>
    <w:p>
      <w:pPr>
        <w:ind w:firstLine="0"/>
        <w:jc w:val="both"/>
        <w:spacing w:line="360" w:lineRule="auto"/>
      </w:pPr>
      <w:r>
        <w:rPr>
          <w:rFonts w:ascii="Times New Roman" w:hAnsi="Times New Roman" w:eastAsia="Times New Roman"/>
          <w:b w:val="0"/>
          <w:i w:val="0"/>
          <w:sz w:val="28"/>
        </w:rPr>
        <w:t>5. Гошовська Д. Т. Феномен невизначеності в психологічному дискурсі / Д. Т. Гошовська // Психологічний часопис. – 2021. – Т. 7, № 3. – С. 38–51.</w:t>
      </w:r>
    </w:p>
    <w:p>
      <w:pPr>
        <w:ind w:firstLine="0"/>
        <w:jc w:val="both"/>
        <w:spacing w:line="360" w:lineRule="auto"/>
      </w:pPr>
      <w:r>
        <w:rPr>
          <w:rFonts w:ascii="Times New Roman" w:hAnsi="Times New Roman" w:eastAsia="Times New Roman"/>
          <w:b w:val="0"/>
          <w:i w:val="0"/>
          <w:sz w:val="28"/>
        </w:rPr>
        <w:t>6. Закон України «Про дошкільну освіту» від 11 лип. 2001 р. № 2628-ІІІ // Відомості Верховної Ради України. – 2001. – № 49. – Ст. 259 (зі змінами, внесеними згідно із законами станом на 2024 р.).</w:t>
      </w:r>
    </w:p>
    <w:p>
      <w:pPr>
        <w:ind w:firstLine="0"/>
        <w:jc w:val="both"/>
        <w:spacing w:line="360" w:lineRule="auto"/>
      </w:pPr>
      <w:r>
        <w:rPr>
          <w:rFonts w:ascii="Times New Roman" w:hAnsi="Times New Roman" w:eastAsia="Times New Roman"/>
          <w:b w:val="0"/>
          <w:i w:val="0"/>
          <w:sz w:val="28"/>
        </w:rPr>
        <w:t>7. Зданевич Л. В. Організація педагогічного моніторингу в закладі дошкільної освіти : навч.-метод. посіб. / Л. В. Зданевич. – Хмельницький : ХГПА, 2019. – 176 с.</w:t>
      </w:r>
    </w:p>
    <w:p>
      <w:pPr>
        <w:ind w:firstLine="0"/>
        <w:jc w:val="both"/>
        <w:spacing w:line="360" w:lineRule="auto"/>
      </w:pPr>
      <w:r>
        <w:rPr>
          <w:rFonts w:ascii="Times New Roman" w:hAnsi="Times New Roman" w:eastAsia="Times New Roman"/>
          <w:b w:val="0"/>
          <w:i w:val="0"/>
          <w:sz w:val="28"/>
        </w:rPr>
        <w:t>8. Калмикова Л. О. Розвиток зв'язного мовлення дошкільників: теорія і практика : монографія / Л. О. Калмикова. – Переяслав-Хмельницький : Вид. Лукашевич О. М., 2010. – 356 с.</w:t>
      </w:r>
    </w:p>
    <w:p>
      <w:pPr>
        <w:ind w:firstLine="0"/>
        <w:jc w:val="both"/>
        <w:spacing w:line="360" w:lineRule="auto"/>
      </w:pPr>
      <w:r>
        <w:rPr>
          <w:rFonts w:ascii="Times New Roman" w:hAnsi="Times New Roman" w:eastAsia="Times New Roman"/>
          <w:b w:val="0"/>
          <w:i w:val="0"/>
          <w:sz w:val="28"/>
        </w:rPr>
        <w:t>9. Кириленко Т. С. Психологія спілкування у сімейному вихованні дошкільника / Т. С. Кириленко. – Київ : НПУ ім. М. П. Драгоманова, 2017. – 188 с.</w:t>
      </w:r>
    </w:p>
    <w:p>
      <w:pPr>
        <w:ind w:firstLine="0"/>
        <w:jc w:val="both"/>
        <w:spacing w:line="360" w:lineRule="auto"/>
      </w:pPr>
      <w:r>
        <w:rPr>
          <w:rFonts w:ascii="Times New Roman" w:hAnsi="Times New Roman" w:eastAsia="Times New Roman"/>
          <w:b w:val="0"/>
          <w:i w:val="0"/>
          <w:sz w:val="28"/>
        </w:rPr>
        <w:t>10. Конопляста С. Ю. Логопсихологія : навч. посіб. / С. Ю. Конопляста, Т. В. Сак. – Київ : Знання, 2010. – 293 с.</w:t>
      </w:r>
    </w:p>
    <w:p>
      <w:pPr>
        <w:ind w:firstLine="0"/>
        <w:jc w:val="both"/>
        <w:spacing w:line="360" w:lineRule="auto"/>
      </w:pPr>
      <w:r>
        <w:rPr>
          <w:rFonts w:ascii="Times New Roman" w:hAnsi="Times New Roman" w:eastAsia="Times New Roman"/>
          <w:b w:val="0"/>
          <w:i w:val="0"/>
          <w:sz w:val="28"/>
        </w:rPr>
        <w:t>11. Корнієнко І. О. Тривожні розлади і стресові реакції у дітей дошкільного віку в умовах збройного конфлікту / І. О. Корнієнко // Психологія і суспільство. – 2023. – № 1. – С. 22–31.</w:t>
      </w:r>
    </w:p>
    <w:p>
      <w:pPr>
        <w:ind w:firstLine="0"/>
        <w:jc w:val="both"/>
        <w:spacing w:line="360" w:lineRule="auto"/>
      </w:pPr>
      <w:r>
        <w:rPr>
          <w:rFonts w:ascii="Times New Roman" w:hAnsi="Times New Roman" w:eastAsia="Times New Roman"/>
          <w:b w:val="0"/>
          <w:i w:val="0"/>
          <w:sz w:val="28"/>
        </w:rPr>
        <w:t>12. Кривоніс В. І. Системні характеристики екстремальної невизначеності та їх вплив на когнітивний розвиток дитини / В. І. Кривоніс // Практична психологія та соціальна робота. – 2022. – № 4. – С. 17–26.</w:t>
      </w:r>
    </w:p>
    <w:p>
      <w:pPr>
        <w:ind w:firstLine="0"/>
        <w:jc w:val="both"/>
        <w:spacing w:line="360" w:lineRule="auto"/>
      </w:pPr>
      <w:r>
        <w:rPr>
          <w:rFonts w:ascii="Times New Roman" w:hAnsi="Times New Roman" w:eastAsia="Times New Roman"/>
          <w:b w:val="0"/>
          <w:i w:val="0"/>
          <w:sz w:val="28"/>
        </w:rPr>
        <w:t>13. Лебедєва Л. Д. Психологічний супровід дітей у ситуації вимушеного переміщення : метод. посіб. / Л. Д. Лебедєва. – Київ : Педагогічна думка, 2022. – 168 с.</w:t>
      </w:r>
    </w:p>
    <w:p>
      <w:pPr>
        <w:ind w:firstLine="0"/>
        <w:jc w:val="both"/>
        <w:spacing w:line="360" w:lineRule="auto"/>
      </w:pPr>
      <w:r>
        <w:rPr>
          <w:rFonts w:ascii="Times New Roman" w:hAnsi="Times New Roman" w:eastAsia="Times New Roman"/>
          <w:b w:val="0"/>
          <w:i w:val="0"/>
          <w:sz w:val="28"/>
        </w:rPr>
        <w:t>14. Лист Міністерства освіти і науки України від 28 берез. 2022 р. № 1/3737-22 «Про забезпечення психологічного супроводу учасників освітнього процесу в умовах воєнного стану». – Київ : МОН України, 2022. – 4 с.</w:t>
      </w:r>
    </w:p>
    <w:p>
      <w:pPr>
        <w:ind w:firstLine="0"/>
        <w:jc w:val="both"/>
        <w:spacing w:line="360" w:lineRule="auto"/>
      </w:pPr>
      <w:r>
        <w:rPr>
          <w:rFonts w:ascii="Times New Roman" w:hAnsi="Times New Roman" w:eastAsia="Times New Roman"/>
          <w:b w:val="0"/>
          <w:i w:val="0"/>
          <w:sz w:val="28"/>
        </w:rPr>
        <w:t>15. Луценко І. О. Казкотерапія як засіб розвитку зв'язного мовлення дошкільника / І. О. Луценко // Логопедія. – 2020. – № 18. – С. 44–52.</w:t>
      </w:r>
    </w:p>
    <w:p>
      <w:pPr>
        <w:ind w:firstLine="0"/>
        <w:jc w:val="both"/>
        <w:spacing w:line="360" w:lineRule="auto"/>
      </w:pPr>
      <w:r>
        <w:rPr>
          <w:rFonts w:ascii="Times New Roman" w:hAnsi="Times New Roman" w:eastAsia="Times New Roman"/>
          <w:b w:val="0"/>
          <w:i w:val="0"/>
          <w:sz w:val="28"/>
        </w:rPr>
        <w:t>16. Максименко С. Д. Загальна психологія / С. Д. Максименко. – Вінниця : Нова Книга, 2004. – 704 с.</w:t>
      </w:r>
    </w:p>
    <w:p>
      <w:pPr>
        <w:ind w:firstLine="0"/>
        <w:jc w:val="both"/>
        <w:spacing w:line="360" w:lineRule="auto"/>
      </w:pPr>
      <w:r>
        <w:rPr>
          <w:rFonts w:ascii="Times New Roman" w:hAnsi="Times New Roman" w:eastAsia="Times New Roman"/>
          <w:b w:val="0"/>
          <w:i w:val="0"/>
          <w:sz w:val="28"/>
        </w:rPr>
        <w:t>17. Леонтьєв О. О. Основи психолінгвістики / О. О. Леонтьєв. – Москва : Смисл ; Академія, 2005. – 288 с.</w:t>
      </w:r>
    </w:p>
    <w:p>
      <w:pPr>
        <w:ind w:firstLine="0"/>
        <w:jc w:val="both"/>
        <w:spacing w:line="360" w:lineRule="auto"/>
      </w:pPr>
      <w:r>
        <w:rPr>
          <w:rFonts w:ascii="Times New Roman" w:hAnsi="Times New Roman" w:eastAsia="Times New Roman"/>
          <w:b w:val="0"/>
          <w:i w:val="0"/>
          <w:sz w:val="28"/>
        </w:rPr>
        <w:t>18. Логвиненко Т. О. Психологічні особливості мовленнєвого розвитку дитини в умовах соціальної нестабільності / Т. О. Логвиненко // Вісник НУО України. – 2022. – № 3 (68). – С. 65–72.</w:t>
      </w:r>
    </w:p>
    <w:p>
      <w:pPr>
        <w:ind w:firstLine="0"/>
        <w:jc w:val="both"/>
        <w:spacing w:line="360" w:lineRule="auto"/>
      </w:pPr>
      <w:r>
        <w:rPr>
          <w:rFonts w:ascii="Times New Roman" w:hAnsi="Times New Roman" w:eastAsia="Times New Roman"/>
          <w:b w:val="0"/>
          <w:i w:val="0"/>
          <w:sz w:val="28"/>
        </w:rPr>
        <w:t>19. Лурія О. Р. Мова та свідомість / О. Р. Лурія ; пер. з рос. – Київ : Основа, 1993. – 272 с.</w:t>
      </w:r>
    </w:p>
    <w:p>
      <w:pPr>
        <w:ind w:firstLine="0"/>
        <w:jc w:val="both"/>
        <w:spacing w:line="360" w:lineRule="auto"/>
      </w:pPr>
      <w:r>
        <w:rPr>
          <w:rFonts w:ascii="Times New Roman" w:hAnsi="Times New Roman" w:eastAsia="Times New Roman"/>
          <w:b w:val="0"/>
          <w:i w:val="0"/>
          <w:sz w:val="28"/>
        </w:rPr>
        <w:t>20. Мілютіна К. Л. Теорія та практика психологічної допомоги : навч. посіб. / К. Л. Мілютіна. – Київ : Шкільний світ, 2007. – 160 с.</w:t>
      </w:r>
    </w:p>
    <w:p>
      <w:pPr>
        <w:ind w:firstLine="0"/>
        <w:jc w:val="both"/>
        <w:spacing w:line="360" w:lineRule="auto"/>
      </w:pPr>
      <w:r>
        <w:rPr>
          <w:rFonts w:ascii="Times New Roman" w:hAnsi="Times New Roman" w:eastAsia="Times New Roman"/>
          <w:b w:val="0"/>
          <w:i w:val="0"/>
          <w:sz w:val="28"/>
        </w:rPr>
        <w:t>21. Місяць Н. К. Особливості діагностики мовленнєвого розвитку дошкільників у кризових умовах / Н. К. Місяць // Дефектологія. – 2023. – № 2. – С. 28–34.</w:t>
      </w:r>
    </w:p>
    <w:p>
      <w:pPr>
        <w:ind w:firstLine="0"/>
        <w:jc w:val="both"/>
        <w:spacing w:line="360" w:lineRule="auto"/>
      </w:pPr>
      <w:r>
        <w:rPr>
          <w:rFonts w:ascii="Times New Roman" w:hAnsi="Times New Roman" w:eastAsia="Times New Roman"/>
          <w:b w:val="0"/>
          <w:i w:val="0"/>
          <w:sz w:val="28"/>
        </w:rPr>
        <w:t>22. Надієнко О. В. Токсичний стрес у ранньому дитинстві: нейропсихологічні механізми та наслідки для розвитку / О. В. Надієнко // Нейронауки і поведінка. – 2022. – Т. 4, № 1. – С. 11–23.</w:t>
      </w:r>
    </w:p>
    <w:p>
      <w:pPr>
        <w:ind w:firstLine="0"/>
        <w:jc w:val="both"/>
        <w:spacing w:line="360" w:lineRule="auto"/>
      </w:pPr>
      <w:r>
        <w:rPr>
          <w:rFonts w:ascii="Times New Roman" w:hAnsi="Times New Roman" w:eastAsia="Times New Roman"/>
          <w:b w:val="0"/>
          <w:i w:val="0"/>
          <w:sz w:val="28"/>
        </w:rPr>
        <w:t>23. Носаченко І. М. Розвиток мовлення дошкільника засобами сенсорної інтеграції / І. М. Носаченко // Логопедія. – 2019. – № 16. – С. 67–74.</w:t>
      </w:r>
    </w:p>
    <w:p>
      <w:pPr>
        <w:ind w:firstLine="0"/>
        <w:jc w:val="both"/>
        <w:spacing w:line="360" w:lineRule="auto"/>
      </w:pPr>
      <w:r>
        <w:rPr>
          <w:rFonts w:ascii="Times New Roman" w:hAnsi="Times New Roman" w:eastAsia="Times New Roman"/>
          <w:b w:val="0"/>
          <w:i w:val="0"/>
          <w:sz w:val="28"/>
        </w:rPr>
        <w:t>24. Омельченко І. М. Пост-травматичний стрес і пам'ять у дітей дошкільного та молодшого шкільного віку / І. М. Омельченко // Освіта осіб з особливими потребами. – 2023. – Вип. 23. – С. 44–53.</w:t>
      </w:r>
    </w:p>
    <w:p>
      <w:pPr>
        <w:ind w:firstLine="0"/>
        <w:jc w:val="both"/>
        <w:spacing w:line="360" w:lineRule="auto"/>
      </w:pPr>
      <w:r>
        <w:rPr>
          <w:rFonts w:ascii="Times New Roman" w:hAnsi="Times New Roman" w:eastAsia="Times New Roman"/>
          <w:b w:val="0"/>
          <w:i w:val="0"/>
          <w:sz w:val="28"/>
        </w:rPr>
        <w:t>25. Педченко О. В. Взаємодія педагогів і батьків у системі психолого-педагогічного супроводу дошкільника в умовах дистанційного навчання / О. В. Педченко // Вихователь-методист дошкільного закладу. – 2022. – № 6. – С. 34–41.</w:t>
      </w:r>
    </w:p>
    <w:p>
      <w:pPr>
        <w:ind w:firstLine="0"/>
        <w:jc w:val="both"/>
        <w:spacing w:line="360" w:lineRule="auto"/>
      </w:pPr>
      <w:r>
        <w:rPr>
          <w:rFonts w:ascii="Times New Roman" w:hAnsi="Times New Roman" w:eastAsia="Times New Roman"/>
          <w:b w:val="0"/>
          <w:i w:val="0"/>
          <w:sz w:val="28"/>
        </w:rPr>
        <w:t>26. Піроженко Т. О. Комунікативно-мовленнєвий розвиток дошкільника / Т. О. Піроженко. – Тернопіль : Мандрівець, 2010. – 152 с.</w:t>
      </w:r>
    </w:p>
    <w:p>
      <w:pPr>
        <w:ind w:firstLine="0"/>
        <w:jc w:val="both"/>
        <w:spacing w:line="360" w:lineRule="auto"/>
      </w:pPr>
      <w:r>
        <w:rPr>
          <w:rFonts w:ascii="Times New Roman" w:hAnsi="Times New Roman" w:eastAsia="Times New Roman"/>
          <w:b w:val="0"/>
          <w:i w:val="0"/>
          <w:sz w:val="28"/>
        </w:rPr>
        <w:t>27. Пінчук І. А. Психічні розлади у дітей в умовах збройного конфлікту: клініко-психопатологічний аспект / І. А. Пінчук // Архів психіатрії. – 2022. – Т. 28, № 4. – С. 195–203.</w:t>
      </w:r>
    </w:p>
    <w:p>
      <w:pPr>
        <w:ind w:firstLine="0"/>
        <w:jc w:val="both"/>
        <w:spacing w:line="360" w:lineRule="auto"/>
      </w:pPr>
      <w:r>
        <w:rPr>
          <w:rFonts w:ascii="Times New Roman" w:hAnsi="Times New Roman" w:eastAsia="Times New Roman"/>
          <w:b w:val="0"/>
          <w:i w:val="0"/>
          <w:sz w:val="28"/>
        </w:rPr>
        <w:t>28. Поніманська Т. І. Дошкільна педагогіка / Т. І. Поніманська. – 3-тє вид. – Київ : Академвидав, 2013. – 456 с.</w:t>
      </w:r>
    </w:p>
    <w:p>
      <w:pPr>
        <w:ind w:firstLine="0"/>
        <w:jc w:val="both"/>
        <w:spacing w:line="360" w:lineRule="auto"/>
      </w:pPr>
      <w:r>
        <w:rPr>
          <w:rFonts w:ascii="Times New Roman" w:hAnsi="Times New Roman" w:eastAsia="Times New Roman"/>
          <w:b w:val="0"/>
          <w:i w:val="0"/>
          <w:sz w:val="28"/>
        </w:rPr>
        <w:t>29. Про затвердження Стратегії розвитку дошкільної освіти до 2030 року : розпорядження Кабінету Міністрів України від 16 верес. 2021 р. № 1183-р. – Київ : КМУ, 2021. – 18 с.</w:t>
      </w:r>
    </w:p>
    <w:p>
      <w:pPr>
        <w:ind w:firstLine="0"/>
        <w:jc w:val="both"/>
        <w:spacing w:line="360" w:lineRule="auto"/>
      </w:pPr>
      <w:r>
        <w:rPr>
          <w:rFonts w:ascii="Times New Roman" w:hAnsi="Times New Roman" w:eastAsia="Times New Roman"/>
          <w:b w:val="0"/>
          <w:i w:val="0"/>
          <w:sz w:val="28"/>
        </w:rPr>
        <w:t>30. Прохоренко Л. І. Розвиток пізнавальних процесів у дітей із затримкою психічного розвитку засобами навчальної діяльності : монографія / Л. І. Прохоренко. – Умань : ФОП Жовтий О. О., 2015. – 260 с.</w:t>
      </w:r>
    </w:p>
    <w:p>
      <w:pPr>
        <w:ind w:firstLine="0"/>
        <w:jc w:val="both"/>
        <w:spacing w:line="360" w:lineRule="auto"/>
      </w:pPr>
      <w:r>
        <w:rPr>
          <w:rFonts w:ascii="Times New Roman" w:hAnsi="Times New Roman" w:eastAsia="Times New Roman"/>
          <w:b w:val="0"/>
          <w:i w:val="0"/>
          <w:sz w:val="28"/>
        </w:rPr>
        <w:t>31. Романенко О. В. Регресія мовленнєвого розвитку у дітей як наслідок психотравматичного впливу / О. В. Романенко // Психологічні студії ЛНУ. – 2022. – Вип. 9. – С. 87–95.</w:t>
      </w:r>
    </w:p>
    <w:p>
      <w:pPr>
        <w:ind w:firstLine="0"/>
        <w:jc w:val="both"/>
        <w:spacing w:line="360" w:lineRule="auto"/>
      </w:pPr>
      <w:r>
        <w:rPr>
          <w:rFonts w:ascii="Times New Roman" w:hAnsi="Times New Roman" w:eastAsia="Times New Roman"/>
          <w:b w:val="0"/>
          <w:i w:val="0"/>
          <w:sz w:val="28"/>
        </w:rPr>
        <w:t>32. Семенович А. В. Нейропсихологічна корекція в дитячому віці: метод заміщаючого онтогенезу / А. В. Семенович. – Москва : Генезис, 2007. – 474 с.</w:t>
      </w:r>
    </w:p>
    <w:p>
      <w:pPr>
        <w:ind w:firstLine="0"/>
        <w:jc w:val="both"/>
        <w:spacing w:line="360" w:lineRule="auto"/>
      </w:pPr>
      <w:r>
        <w:rPr>
          <w:rFonts w:ascii="Times New Roman" w:hAnsi="Times New Roman" w:eastAsia="Times New Roman"/>
          <w:b w:val="0"/>
          <w:i w:val="0"/>
          <w:sz w:val="28"/>
        </w:rPr>
        <w:t>33. Мартинчук О. В. Діти з особливими освітніми потребами в інклюзивному освітньому просторі / О. В. Мартинчук. – Київ : Ленвіт, 2012. – 172 с.</w:t>
      </w:r>
    </w:p>
    <w:p>
      <w:pPr>
        <w:ind w:firstLine="0"/>
        <w:jc w:val="both"/>
        <w:spacing w:line="360" w:lineRule="auto"/>
      </w:pPr>
      <w:r>
        <w:rPr>
          <w:rFonts w:ascii="Times New Roman" w:hAnsi="Times New Roman" w:eastAsia="Times New Roman"/>
          <w:b w:val="0"/>
          <w:i w:val="0"/>
          <w:sz w:val="28"/>
        </w:rPr>
        <w:t>34. Сіліна Г. О. Пісочна терапія в роботі з дітьми дошкільного та молодшого шкільного віку / Г. О. Сіліна. – Харків : Основа, 2018. – 127 с.</w:t>
      </w:r>
    </w:p>
    <w:p>
      <w:pPr>
        <w:ind w:firstLine="0"/>
        <w:jc w:val="both"/>
        <w:spacing w:line="360" w:lineRule="auto"/>
      </w:pPr>
      <w:r>
        <w:rPr>
          <w:rFonts w:ascii="Times New Roman" w:hAnsi="Times New Roman" w:eastAsia="Times New Roman"/>
          <w:b w:val="0"/>
          <w:i w:val="0"/>
          <w:sz w:val="28"/>
        </w:rPr>
        <w:t>35. Савченко М. А. Нейробіологічні механізми впливу хронічного стресу на префронтальну кору головного мозку дитини / М. А. Савченко // Фізіологічний журнал. – 2021. – Т. 67, № 4. – С. 32–41.</w:t>
      </w:r>
    </w:p>
    <w:p>
      <w:pPr>
        <w:ind w:firstLine="0"/>
        <w:jc w:val="both"/>
        <w:spacing w:line="360" w:lineRule="auto"/>
      </w:pPr>
      <w:r>
        <w:rPr>
          <w:rFonts w:ascii="Times New Roman" w:hAnsi="Times New Roman" w:eastAsia="Times New Roman"/>
          <w:b w:val="0"/>
          <w:i w:val="0"/>
          <w:sz w:val="28"/>
        </w:rPr>
        <w:t>36. Тітченко Л. А. Психотерапевтично-орієнтовані підходи у логопедичній практиці : навч.-метод. посіб. / Л. А. Тітченко. – Київ : Університет «Україна», 2020. – 148 с.</w:t>
      </w:r>
    </w:p>
    <w:p>
      <w:pPr>
        <w:ind w:firstLine="0"/>
        <w:jc w:val="both"/>
        <w:spacing w:line="360" w:lineRule="auto"/>
      </w:pPr>
      <w:r>
        <w:rPr>
          <w:rFonts w:ascii="Times New Roman" w:hAnsi="Times New Roman" w:eastAsia="Times New Roman"/>
          <w:b w:val="0"/>
          <w:i w:val="0"/>
          <w:sz w:val="28"/>
        </w:rPr>
        <w:t>37. Тарасун В. В. Логодидактика : навч. посіб. / В. В. Тарасун. – Київ : Академвидав, 2012. – 212 с.</w:t>
      </w:r>
    </w:p>
    <w:p>
      <w:pPr>
        <w:ind w:firstLine="0"/>
        <w:jc w:val="both"/>
        <w:spacing w:line="360" w:lineRule="auto"/>
      </w:pPr>
      <w:r>
        <w:rPr>
          <w:rFonts w:ascii="Times New Roman" w:hAnsi="Times New Roman" w:eastAsia="Times New Roman"/>
          <w:b w:val="0"/>
          <w:i w:val="0"/>
          <w:sz w:val="28"/>
        </w:rPr>
        <w:t>38. Трофименко Л. І. Корекційне навчання з розвитку мовлення старших дошкільників із загальним недорозвитком мовлення / Л. І. Трофименко. – Київ : Актуальна освіта, 2014. – 128 с.</w:t>
      </w:r>
    </w:p>
    <w:p>
      <w:pPr>
        <w:ind w:firstLine="0"/>
        <w:jc w:val="both"/>
        <w:spacing w:line="360" w:lineRule="auto"/>
      </w:pPr>
      <w:r>
        <w:rPr>
          <w:rFonts w:ascii="Times New Roman" w:hAnsi="Times New Roman" w:eastAsia="Times New Roman"/>
          <w:b w:val="0"/>
          <w:i w:val="0"/>
          <w:sz w:val="28"/>
        </w:rPr>
        <w:t>39. Філічева Т. Б. Логопедична робота в спеціальних дошкільних закладах / Т. Б. Філічева, Г. Р. Шашкіна. – Москва : Академія, 2002. – 272 с.</w:t>
      </w:r>
    </w:p>
    <w:p>
      <w:pPr>
        <w:ind w:firstLine="0"/>
        <w:jc w:val="both"/>
        <w:spacing w:line="360" w:lineRule="auto"/>
      </w:pPr>
      <w:r>
        <w:rPr>
          <w:rFonts w:ascii="Times New Roman" w:hAnsi="Times New Roman" w:eastAsia="Times New Roman"/>
          <w:b w:val="0"/>
          <w:i w:val="0"/>
          <w:sz w:val="28"/>
        </w:rPr>
        <w:t>40. Чередниченко Н. В. Батьківське вигорання та вторинна травматизація в умовах воєнного стану / Н. В. Чередниченко // Психологічна допомога сім'ї. – 2023. – № 1. – С. 12–21.</w:t>
      </w:r>
    </w:p>
    <w:p>
      <w:pPr>
        <w:ind w:firstLine="0"/>
        <w:jc w:val="both"/>
        <w:spacing w:line="360" w:lineRule="auto"/>
      </w:pPr>
      <w:r>
        <w:rPr>
          <w:rFonts w:ascii="Times New Roman" w:hAnsi="Times New Roman" w:eastAsia="Times New Roman"/>
          <w:b w:val="0"/>
          <w:i w:val="0"/>
          <w:sz w:val="28"/>
        </w:rPr>
        <w:t>41. Ужченко В. Д. Норми мовленнєвого розвитку дітей дошкільного віку у вітчизняній і зарубіжній логопедії / В. Д. Ужченко // Мова і культура. – 2018. – Вип. 21. – С. 145–152.</w:t>
      </w:r>
    </w:p>
    <w:p>
      <w:pPr>
        <w:ind w:firstLine="0"/>
        <w:jc w:val="both"/>
        <w:spacing w:line="360" w:lineRule="auto"/>
      </w:pPr>
      <w:r>
        <w:rPr>
          <w:rFonts w:ascii="Times New Roman" w:hAnsi="Times New Roman" w:eastAsia="Times New Roman"/>
          <w:b w:val="0"/>
          <w:i w:val="0"/>
          <w:sz w:val="28"/>
        </w:rPr>
        <w:t>42. Федоренко Л. П. Закономірності засвоєння рідної мови / Л. П. Федоренко. – Москва : Просвіта, 1984. – 160 с.</w:t>
      </w:r>
    </w:p>
    <w:p>
      <w:pPr>
        <w:ind w:firstLine="0"/>
        <w:jc w:val="both"/>
        <w:spacing w:line="360" w:lineRule="auto"/>
      </w:pPr>
      <w:r>
        <w:rPr>
          <w:rFonts w:ascii="Times New Roman" w:hAnsi="Times New Roman" w:eastAsia="Times New Roman"/>
          <w:b w:val="0"/>
          <w:i w:val="0"/>
          <w:sz w:val="28"/>
        </w:rPr>
        <w:t>43. Татаринцева А. Ю. Партнерська взаємодія сім'ї і закладу дошкільної освіти в умовах психотравматичного стресу / А. Ю. Татаринцева // Практична психологія і соціальна робота. – 2022. – № 5. – С. 21–29.</w:t>
      </w:r>
    </w:p>
    <w:p>
      <w:pPr>
        <w:ind w:firstLine="0"/>
        <w:jc w:val="both"/>
        <w:spacing w:line="360" w:lineRule="auto"/>
      </w:pPr>
      <w:r>
        <w:rPr>
          <w:rFonts w:ascii="Times New Roman" w:hAnsi="Times New Roman" w:eastAsia="Times New Roman"/>
          <w:b w:val="0"/>
          <w:i w:val="0"/>
          <w:sz w:val="28"/>
        </w:rPr>
        <w:t>44. Шеремет М. К. Логопедія : підручник / М. К. Шеремет, В. В. Тарасун. – Київ : Слово, 2010. – 672 с.</w:t>
      </w:r>
    </w:p>
    <w:p>
      <w:pPr>
        <w:ind w:firstLine="0"/>
        <w:jc w:val="both"/>
        <w:spacing w:line="360" w:lineRule="auto"/>
      </w:pPr>
      <w:r>
        <w:rPr>
          <w:rFonts w:ascii="Times New Roman" w:hAnsi="Times New Roman" w:eastAsia="Times New Roman"/>
          <w:b w:val="0"/>
          <w:i w:val="0"/>
          <w:sz w:val="28"/>
        </w:rPr>
        <w:t>45. Яворська Т. Є. Ігрові технології розвитку мовлення дошкільників : практичний посіб. / Т. Є. Яворська. – Тернопіль : Навчальна книга – Богдан, 2019. – 112 с.</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