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p>
    <w:p>
      <w:pPr>
        <w:ind w:firstLine="0"/>
        <w:jc w:val="both"/>
        <w:spacing w:line="360" w:lineRule="auto"/>
      </w:pPr>
      <w:r>
        <w:rPr>
          <w:rFonts w:ascii="Times New Roman" w:hAnsi="Times New Roman" w:eastAsia="Times New Roman"/>
          <w:b/>
          <w:i w:val="0"/>
          <w:sz w:val="28"/>
        </w:rPr>
        <w:t>1.1. Психолінгвістичні особливості мовленнєвого розвитку старших дошкільників</w:t>
      </w:r>
    </w:p>
    <w:p>
      <w:pPr>
        <w:ind w:firstLine="709"/>
        <w:jc w:val="both"/>
        <w:spacing w:line="360" w:lineRule="auto"/>
      </w:pPr>
      <w:r>
        <w:rPr>
          <w:rFonts w:ascii="Times New Roman" w:hAnsi="Times New Roman" w:eastAsia="Times New Roman"/>
          <w:b w:val="0"/>
          <w:i w:val="0"/>
          <w:sz w:val="28"/>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pPr>
        <w:ind w:firstLine="709"/>
        <w:jc w:val="both"/>
        <w:spacing w:line="360" w:lineRule="auto"/>
      </w:pPr>
      <w:r>
        <w:rPr>
          <w:rFonts w:ascii="Times New Roman" w:hAnsi="Times New Roman" w:eastAsia="Times New Roman"/>
          <w:b w:val="0"/>
          <w:i w:val="0"/>
          <w:sz w:val="28"/>
        </w:rPr>
        <w:t>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довівши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старшодошкільному віці стають дедалі більш усвідомленими [17].</w:t>
      </w:r>
    </w:p>
    <w:p>
      <w:pPr>
        <w:ind w:firstLine="709"/>
        <w:jc w:val="both"/>
        <w:spacing w:line="360" w:lineRule="auto"/>
      </w:pPr>
      <w:r>
        <w:rPr>
          <w:rFonts w:ascii="Times New Roman" w:hAnsi="Times New Roman" w:eastAsia="Times New Roman"/>
          <w:b w:val="0"/>
          <w:i w:val="0"/>
          <w:sz w:val="28"/>
        </w:rPr>
        <w:t>На думку А. М. Богуш,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pPr>
        <w:ind w:firstLine="0"/>
        <w:jc w:val="right"/>
        <w:spacing w:line="360" w:lineRule="auto"/>
      </w:pPr>
      <w:r>
        <w:rPr>
          <w:rFonts w:ascii="Times New Roman" w:hAnsi="Times New Roman" w:eastAsia="Times New Roman"/>
          <w:b w:val="0"/>
          <w:i w:val="0"/>
          <w:sz w:val="28"/>
        </w:rPr>
        <w:t>Таблиця 1.1</w:t>
      </w:r>
    </w:p>
    <w:p>
      <w:pPr>
        <w:ind w:firstLine="0"/>
        <w:jc w:val="center"/>
        <w:spacing w:line="360" w:lineRule="auto"/>
      </w:pPr>
      <w:r>
        <w:rPr>
          <w:rFonts w:ascii="Times New Roman" w:hAnsi="Times New Roman" w:eastAsia="Times New Roman"/>
          <w:b/>
          <w:i w:val="0"/>
          <w:sz w:val="28"/>
        </w:rPr>
        <w:t>Характеристика мовленнєвого розвитку дітей старшого дошкільного віку в нормі</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Компонент мовлення</w:t>
            </w:r>
          </w:p>
        </w:tc>
        <w:tc>
          <w:tcPr>
            <w:tcW w:type="dxa" w:w="3213"/>
          </w:tcPr>
          <w:p>
            <w:pPr>
              <w:jc w:val="center"/>
              <w:spacing w:line="360" w:lineRule="auto"/>
            </w:pPr>
            <w:r>
              <w:rPr>
                <w:rFonts w:ascii="Times New Roman" w:hAnsi="Times New Roman" w:eastAsia="Times New Roman"/>
                <w:b/>
                <w:i w:val="0"/>
                <w:sz w:val="24"/>
              </w:rPr>
              <w:t>Діти 5–6 років</w:t>
            </w:r>
          </w:p>
        </w:tc>
        <w:tc>
          <w:tcPr>
            <w:tcW w:type="dxa" w:w="3213"/>
          </w:tcPr>
          <w:p>
            <w:pPr>
              <w:jc w:val="center"/>
              <w:spacing w:line="360" w:lineRule="auto"/>
            </w:pPr>
            <w:r>
              <w:rPr>
                <w:rFonts w:ascii="Times New Roman" w:hAnsi="Times New Roman" w:eastAsia="Times New Roman"/>
                <w:b/>
                <w:i w:val="0"/>
                <w:sz w:val="24"/>
              </w:rPr>
              <w:t>Діти 6–7 років</w:t>
            </w:r>
          </w:p>
        </w:tc>
      </w:tr>
      <w:tr>
        <w:tc>
          <w:tcPr>
            <w:tcW w:type="dxa" w:w="3213"/>
          </w:tcPr>
          <w:p>
            <w:pPr>
              <w:jc w:val="left"/>
              <w:spacing w:line="360" w:lineRule="auto"/>
            </w:pPr>
            <w:r>
              <w:rPr>
                <w:rFonts w:ascii="Times New Roman" w:hAnsi="Times New Roman" w:eastAsia="Times New Roman"/>
                <w:b w:val="0"/>
                <w:i w:val="0"/>
                <w:sz w:val="24"/>
              </w:rPr>
              <w:t>Фонетико-фонематична складова</w:t>
            </w:r>
          </w:p>
        </w:tc>
        <w:tc>
          <w:tcPr>
            <w:tcW w:type="dxa" w:w="3213"/>
          </w:tcPr>
          <w:p>
            <w:pPr>
              <w:jc w:val="left"/>
              <w:spacing w:line="360" w:lineRule="auto"/>
            </w:pPr>
            <w:r>
              <w:rPr>
                <w:rFonts w:ascii="Times New Roman" w:hAnsi="Times New Roman" w:eastAsia="Times New Roman"/>
                <w:b w:val="0"/>
                <w:i w:val="0"/>
                <w:sz w:val="24"/>
              </w:rPr>
              <w:t>Правильна вимова більшості звуків; фонематичний слух у стадії формування; допустимі окремі вікові замінення шиплячих і сонорних</w:t>
            </w:r>
          </w:p>
        </w:tc>
        <w:tc>
          <w:tcPr>
            <w:tcW w:type="dxa" w:w="3213"/>
          </w:tcPr>
          <w:p>
            <w:pPr>
              <w:jc w:val="left"/>
              <w:spacing w:line="360" w:lineRule="auto"/>
            </w:pPr>
            <w:r>
              <w:rPr>
                <w:rFonts w:ascii="Times New Roman" w:hAnsi="Times New Roman" w:eastAsia="Times New Roman"/>
                <w:b w:val="0"/>
                <w:i w:val="0"/>
                <w:sz w:val="24"/>
              </w:rPr>
              <w:t>Повна сформованість звуковимови; розвинений фонематичний слух; готовність до звукового аналізу і синтезу</w:t>
            </w:r>
          </w:p>
        </w:tc>
      </w:tr>
      <w:tr>
        <w:tc>
          <w:tcPr>
            <w:tcW w:type="dxa" w:w="3213"/>
          </w:tcPr>
          <w:p>
            <w:pPr>
              <w:jc w:val="left"/>
              <w:spacing w:line="360" w:lineRule="auto"/>
            </w:pPr>
            <w:r>
              <w:rPr>
                <w:rFonts w:ascii="Times New Roman" w:hAnsi="Times New Roman" w:eastAsia="Times New Roman"/>
                <w:b w:val="0"/>
                <w:i w:val="0"/>
                <w:sz w:val="24"/>
              </w:rPr>
              <w:t>Лексична складова</w:t>
            </w:r>
          </w:p>
        </w:tc>
        <w:tc>
          <w:tcPr>
            <w:tcW w:type="dxa" w:w="3213"/>
          </w:tcPr>
          <w:p>
            <w:pPr>
              <w:jc w:val="left"/>
              <w:spacing w:line="360" w:lineRule="auto"/>
            </w:pPr>
            <w:r>
              <w:rPr>
                <w:rFonts w:ascii="Times New Roman" w:hAnsi="Times New Roman" w:eastAsia="Times New Roman"/>
                <w:b w:val="0"/>
                <w:i w:val="0"/>
                <w:sz w:val="24"/>
              </w:rPr>
              <w:t>Активний словник 3 000–4 500 слів; розуміння переносного значення; початкове вживання синонімів</w:t>
            </w:r>
          </w:p>
        </w:tc>
        <w:tc>
          <w:tcPr>
            <w:tcW w:type="dxa" w:w="3213"/>
          </w:tcPr>
          <w:p>
            <w:pPr>
              <w:jc w:val="left"/>
              <w:spacing w:line="360" w:lineRule="auto"/>
            </w:pPr>
            <w:r>
              <w:rPr>
                <w:rFonts w:ascii="Times New Roman" w:hAnsi="Times New Roman" w:eastAsia="Times New Roman"/>
                <w:b w:val="0"/>
                <w:i w:val="0"/>
                <w:sz w:val="24"/>
              </w:rPr>
              <w:t>Активний словник 4 500–7 000 слів; вживання синонімів, антонімів, слів із переносним значенням</w:t>
            </w:r>
          </w:p>
        </w:tc>
      </w:tr>
      <w:tr>
        <w:tc>
          <w:tcPr>
            <w:tcW w:type="dxa" w:w="3213"/>
          </w:tcPr>
          <w:p>
            <w:pPr>
              <w:jc w:val="left"/>
              <w:spacing w:line="360" w:lineRule="auto"/>
            </w:pPr>
            <w:r>
              <w:rPr>
                <w:rFonts w:ascii="Times New Roman" w:hAnsi="Times New Roman" w:eastAsia="Times New Roman"/>
                <w:b w:val="0"/>
                <w:i w:val="0"/>
                <w:sz w:val="24"/>
              </w:rPr>
              <w:t>Граматична складова</w:t>
            </w:r>
          </w:p>
        </w:tc>
        <w:tc>
          <w:tcPr>
            <w:tcW w:type="dxa" w:w="3213"/>
          </w:tcPr>
          <w:p>
            <w:pPr>
              <w:jc w:val="left"/>
              <w:spacing w:line="360" w:lineRule="auto"/>
            </w:pPr>
            <w:r>
              <w:rPr>
                <w:rFonts w:ascii="Times New Roman" w:hAnsi="Times New Roman" w:eastAsia="Times New Roman"/>
                <w:b w:val="0"/>
                <w:i w:val="0"/>
                <w:sz w:val="24"/>
              </w:rPr>
              <w:t>Прості та складнопідрядні речення; засвоєння основних відмінкових форм; окремі аграматизми</w:t>
            </w:r>
          </w:p>
        </w:tc>
        <w:tc>
          <w:tcPr>
            <w:tcW w:type="dxa" w:w="3213"/>
          </w:tcPr>
          <w:p>
            <w:pPr>
              <w:jc w:val="left"/>
              <w:spacing w:line="360" w:lineRule="auto"/>
            </w:pPr>
            <w:r>
              <w:rPr>
                <w:rFonts w:ascii="Times New Roman" w:hAnsi="Times New Roman" w:eastAsia="Times New Roman"/>
                <w:b w:val="0"/>
                <w:i w:val="0"/>
                <w:sz w:val="24"/>
              </w:rPr>
              <w:t>Складносурядні і складнопідрядні речення; граматична правильність висловлювань; словотворення за аналогією</w:t>
            </w:r>
          </w:p>
        </w:tc>
      </w:tr>
      <w:tr>
        <w:tc>
          <w:tcPr>
            <w:tcW w:type="dxa" w:w="3213"/>
          </w:tcPr>
          <w:p>
            <w:pPr>
              <w:jc w:val="left"/>
              <w:spacing w:line="360" w:lineRule="auto"/>
            </w:pPr>
            <w:r>
              <w:rPr>
                <w:rFonts w:ascii="Times New Roman" w:hAnsi="Times New Roman" w:eastAsia="Times New Roman"/>
                <w:b w:val="0"/>
                <w:i w:val="0"/>
                <w:sz w:val="24"/>
              </w:rPr>
              <w:t>Зв'язне мовлення</w:t>
            </w:r>
          </w:p>
        </w:tc>
        <w:tc>
          <w:tcPr>
            <w:tcW w:type="dxa" w:w="3213"/>
          </w:tcPr>
          <w:p>
            <w:pPr>
              <w:jc w:val="left"/>
              <w:spacing w:line="360" w:lineRule="auto"/>
            </w:pPr>
            <w:r>
              <w:rPr>
                <w:rFonts w:ascii="Times New Roman" w:hAnsi="Times New Roman" w:eastAsia="Times New Roman"/>
                <w:b w:val="0"/>
                <w:i w:val="0"/>
                <w:sz w:val="24"/>
              </w:rPr>
              <w:t>Переказ з опорою на наочність; короткі ситуативні розповіді (4–6 речень)</w:t>
            </w:r>
          </w:p>
        </w:tc>
        <w:tc>
          <w:tcPr>
            <w:tcW w:type="dxa" w:w="3213"/>
          </w:tcPr>
          <w:p>
            <w:pPr>
              <w:jc w:val="left"/>
              <w:spacing w:line="360" w:lineRule="auto"/>
            </w:pPr>
            <w:r>
              <w:rPr>
                <w:rFonts w:ascii="Times New Roman" w:hAnsi="Times New Roman" w:eastAsia="Times New Roman"/>
                <w:b w:val="0"/>
                <w:i w:val="0"/>
                <w:sz w:val="24"/>
              </w:rPr>
              <w:t>Самостійна розповідь, опис, міркування без зовнішньої опори; структурована розповідь (8–12 речень)</w:t>
            </w:r>
          </w:p>
        </w:tc>
      </w:tr>
      <w:tr>
        <w:tc>
          <w:tcPr>
            <w:tcW w:type="dxa" w:w="3213"/>
          </w:tcPr>
          <w:p>
            <w:pPr>
              <w:jc w:val="left"/>
              <w:spacing w:line="360" w:lineRule="auto"/>
            </w:pPr>
            <w:r>
              <w:rPr>
                <w:rFonts w:ascii="Times New Roman" w:hAnsi="Times New Roman" w:eastAsia="Times New Roman"/>
                <w:b w:val="0"/>
                <w:i w:val="0"/>
                <w:sz w:val="24"/>
              </w:rPr>
              <w:t>Комунікативна складова</w:t>
            </w:r>
          </w:p>
        </w:tc>
        <w:tc>
          <w:tcPr>
            <w:tcW w:type="dxa" w:w="3213"/>
          </w:tcPr>
          <w:p>
            <w:pPr>
              <w:jc w:val="left"/>
              <w:spacing w:line="360" w:lineRule="auto"/>
            </w:pPr>
            <w:r>
              <w:rPr>
                <w:rFonts w:ascii="Times New Roman" w:hAnsi="Times New Roman" w:eastAsia="Times New Roman"/>
                <w:b w:val="0"/>
                <w:i w:val="0"/>
                <w:sz w:val="24"/>
              </w:rPr>
              <w:t>Ситуативне та позаситуативне спілкування; початок оволодіння діалогічним мовленням</w:t>
            </w:r>
          </w:p>
        </w:tc>
        <w:tc>
          <w:tcPr>
            <w:tcW w:type="dxa" w:w="3213"/>
          </w:tcPr>
          <w:p>
            <w:pPr>
              <w:jc w:val="left"/>
              <w:spacing w:line="360" w:lineRule="auto"/>
            </w:pPr>
            <w:r>
              <w:rPr>
                <w:rFonts w:ascii="Times New Roman" w:hAnsi="Times New Roman" w:eastAsia="Times New Roman"/>
                <w:b w:val="0"/>
                <w:i w:val="0"/>
                <w:sz w:val="24"/>
              </w:rPr>
              <w:t>Розгорнуте монологічне та діалогічне мовлення; дотримання мовленнєвого етикету</w:t>
            </w:r>
          </w:p>
        </w:tc>
      </w:tr>
    </w:tbl>
    <w:p>
      <w:pPr>
        <w:ind w:firstLine="0"/>
        <w:jc w:val="both"/>
        <w:spacing w:line="360" w:lineRule="auto"/>
      </w:pPr>
      <w:r>
        <w:rPr>
          <w:rFonts w:ascii="Times New Roman" w:hAnsi="Times New Roman" w:eastAsia="Times New Roman"/>
          <w:b w:val="0"/>
          <w:i/>
          <w:sz w:val="28"/>
        </w:rPr>
        <w:t>Джерело: складено автором на основі [1; 26; 28; 39; 41].</w:t>
      </w:r>
    </w:p>
    <w:p>
      <w:pPr>
        <w:ind w:firstLine="709"/>
        <w:jc w:val="both"/>
        <w:spacing w:line="360" w:lineRule="auto"/>
      </w:pPr>
      <w:r>
        <w:rPr>
          <w:rFonts w:ascii="Times New Roman" w:hAnsi="Times New Roman" w:eastAsia="Times New Roman"/>
          <w:b w:val="0"/>
          <w:i w:val="0"/>
          <w:sz w:val="28"/>
        </w:rPr>
        <w:t>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замінення; до 6–7 років фонетична система є повністю сформованою [28]. Т. Б. Філічева та Г. Р. Шашкіна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pPr>
        <w:ind w:firstLine="709"/>
        <w:jc w:val="both"/>
        <w:spacing w:line="360" w:lineRule="auto"/>
      </w:pPr>
      <w:r>
        <w:rPr>
          <w:rFonts w:ascii="Times New Roman" w:hAnsi="Times New Roman" w:eastAsia="Times New Roman"/>
          <w:b w:val="0"/>
          <w:i w:val="0"/>
          <w:sz w:val="28"/>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4"/>
              </w:rPr>
              <w:t>МОВЛЕННЄВА КОМПЕТЕНТНІСТЬ СТАРШОГО ДОШКІЛЬНИКА</w:t>
            </w:r>
          </w:p>
        </w:tc>
      </w:tr>
      <w:tr>
        <w:tc>
          <w:tcPr>
            <w:tcW w:type="dxa" w:w="1928"/>
          </w:tcPr>
          <w:p>
            <w:pPr>
              <w:jc w:val="center"/>
              <w:spacing w:line="360" w:lineRule="auto"/>
            </w:pPr>
            <w:r>
              <w:rPr>
                <w:rFonts w:ascii="Times New Roman" w:hAnsi="Times New Roman" w:eastAsia="Times New Roman"/>
                <w:b w:val="0"/>
                <w:i w:val="0"/>
                <w:sz w:val="22"/>
              </w:rPr>
              <w:t>Фонетична</w:t>
              <w:br/>
              <w:t>складова</w:t>
            </w:r>
          </w:p>
        </w:tc>
        <w:tc>
          <w:tcPr>
            <w:tcW w:type="dxa" w:w="1928"/>
          </w:tcPr>
          <w:p>
            <w:pPr>
              <w:jc w:val="center"/>
              <w:spacing w:line="360" w:lineRule="auto"/>
            </w:pPr>
            <w:r>
              <w:rPr>
                <w:rFonts w:ascii="Times New Roman" w:hAnsi="Times New Roman" w:eastAsia="Times New Roman"/>
                <w:b w:val="0"/>
                <w:i w:val="0"/>
                <w:sz w:val="22"/>
              </w:rPr>
              <w:t>Лексична</w:t>
              <w:br/>
              <w:t>складова</w:t>
            </w:r>
          </w:p>
        </w:tc>
        <w:tc>
          <w:tcPr>
            <w:tcW w:type="dxa" w:w="1928"/>
          </w:tcPr>
          <w:p>
            <w:pPr>
              <w:jc w:val="center"/>
              <w:spacing w:line="360" w:lineRule="auto"/>
            </w:pPr>
            <w:r>
              <w:rPr>
                <w:rFonts w:ascii="Times New Roman" w:hAnsi="Times New Roman" w:eastAsia="Times New Roman"/>
                <w:b w:val="0"/>
                <w:i w:val="0"/>
                <w:sz w:val="22"/>
              </w:rPr>
              <w:t>Граматична</w:t>
              <w:br/>
              <w:t>складова</w:t>
            </w:r>
          </w:p>
        </w:tc>
        <w:tc>
          <w:tcPr>
            <w:tcW w:type="dxa" w:w="1928"/>
          </w:tcPr>
          <w:p>
            <w:pPr>
              <w:jc w:val="center"/>
              <w:spacing w:line="360" w:lineRule="auto"/>
            </w:pPr>
            <w:r>
              <w:rPr>
                <w:rFonts w:ascii="Times New Roman" w:hAnsi="Times New Roman" w:eastAsia="Times New Roman"/>
                <w:b w:val="0"/>
                <w:i w:val="0"/>
                <w:sz w:val="22"/>
              </w:rPr>
              <w:t>Зв'язне</w:t>
              <w:br/>
              <w:t>мовлення</w:t>
            </w:r>
          </w:p>
        </w:tc>
        <w:tc>
          <w:tcPr>
            <w:tcW w:type="dxa" w:w="1928"/>
          </w:tcPr>
          <w:p>
            <w:pPr>
              <w:jc w:val="center"/>
              <w:spacing w:line="360" w:lineRule="auto"/>
            </w:pPr>
            <w:r>
              <w:rPr>
                <w:rFonts w:ascii="Times New Roman" w:hAnsi="Times New Roman" w:eastAsia="Times New Roman"/>
                <w:b w:val="0"/>
                <w:i w:val="0"/>
                <w:sz w:val="22"/>
              </w:rPr>
              <w:t>Комунікативна</w:t>
              <w:br/>
              <w:t>складова</w:t>
            </w:r>
          </w:p>
        </w:tc>
      </w:tr>
    </w:tbl>
    <w:p>
      <w:pPr>
        <w:ind w:firstLine="0"/>
        <w:jc w:val="center"/>
        <w:spacing w:line="360" w:lineRule="auto"/>
      </w:pPr>
      <w:r>
        <w:rPr>
          <w:rFonts w:ascii="Times New Roman" w:hAnsi="Times New Roman" w:eastAsia="Times New Roman"/>
          <w:b w:val="0"/>
          <w:i/>
          <w:sz w:val="28"/>
        </w:rPr>
        <w:t>Рис. 1.1 Структура мовленнєвої компетентності старшого дошкільника</w:t>
      </w:r>
    </w:p>
    <w:p>
      <w:pPr>
        <w:ind w:firstLine="709"/>
        <w:jc w:val="both"/>
        <w:spacing w:line="360" w:lineRule="auto"/>
      </w:pPr>
      <w:r>
        <w:rPr>
          <w:rFonts w:ascii="Times New Roman" w:hAnsi="Times New Roman" w:eastAsia="Times New Roman"/>
          <w:b w:val="0"/>
          <w:i w:val="0"/>
          <w:sz w:val="28"/>
        </w:rPr>
        <w:t>Мовленнєвий розвиток нерозривно пов'язаний із когнітивним. Л. О. Калмикова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Піроженко зазначає, що мовленнєве зростання дошкільника відбувається у нерозривній єдності з розвитком особистісної сфери, формуванням образу «Я» та соціальної 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pPr>
        <w:ind w:firstLine="709"/>
        <w:jc w:val="both"/>
        <w:spacing w:line="360" w:lineRule="auto"/>
      </w:pPr>
      <w:r>
        <w:rPr>
          <w:rFonts w:ascii="Times New Roman" w:hAnsi="Times New Roman" w:eastAsia="Times New Roman"/>
          <w:b w:val="0"/>
          <w:i w:val="0"/>
          <w:sz w:val="28"/>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pPr>
        <w:ind w:firstLine="0"/>
        <w:jc w:val="both"/>
        <w:spacing w:line="360" w:lineRule="auto"/>
      </w:pPr>
      <w:r>
        <w:rPr>
          <w:rFonts w:ascii="Times New Roman" w:hAnsi="Times New Roman" w:eastAsia="Times New Roman"/>
          <w:b/>
          <w:i w:val="0"/>
          <w:sz w:val="28"/>
        </w:rPr>
        <w:t>1.2. Феномен «екстремальної невизначеності» та його вплив на когнітивну сферу дитини</w:t>
      </w:r>
    </w:p>
    <w:p>
      <w:pPr>
        <w:ind w:firstLine="709"/>
        <w:jc w:val="both"/>
        <w:spacing w:line="360" w:lineRule="auto"/>
      </w:pPr>
      <w:r>
        <w:rPr>
          <w:rFonts w:ascii="Times New Roman" w:hAnsi="Times New Roman" w:eastAsia="Times New Roman"/>
          <w:b w:val="0"/>
          <w:i w:val="0"/>
          <w:sz w:val="28"/>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pPr>
        <w:ind w:firstLine="709"/>
        <w:jc w:val="both"/>
        <w:spacing w:line="360" w:lineRule="auto"/>
      </w:pPr>
      <w:r>
        <w:rPr>
          <w:rFonts w:ascii="Times New Roman" w:hAnsi="Times New Roman" w:eastAsia="Times New Roman"/>
          <w:b w:val="0"/>
          <w:i w:val="0"/>
          <w:sz w:val="28"/>
        </w:rPr>
        <w:t>Нейропсихологічна база впливу стресу на когнітивний розвиток дитини ґрунтується на концепції алостатичного навантаження та теорії токсичного стресу [22]. Мозок дитини в умовах хронічного стресу зазнає структурних та функціональних змін: спостерігається підвищена активність мигдалеподібного тіла (центру обробки загроз), пригнічення префронтальної кори (відповідальної за регуляцію поведінки, планування та мовленнєву діяльність) та порушення функцій гіпокампа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pPr>
        <w:ind w:firstLine="709"/>
        <w:jc w:val="both"/>
        <w:spacing w:line="360" w:lineRule="auto"/>
      </w:pPr>
      <w:r>
        <w:rPr>
          <w:rFonts w:ascii="Times New Roman" w:hAnsi="Times New Roman" w:eastAsia="Times New Roman"/>
          <w:b w:val="0"/>
          <w:i w:val="0"/>
          <w:sz w:val="28"/>
        </w:rPr>
        <w:t>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гіперпильність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(флешбеки)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pPr>
        <w:ind w:firstLine="709"/>
        <w:jc w:val="both"/>
        <w:spacing w:line="360" w:lineRule="auto"/>
      </w:pPr>
      <w:r>
        <w:rPr>
          <w:rFonts w:ascii="Times New Roman" w:hAnsi="Times New Roman" w:eastAsia="Times New Roman"/>
          <w:b w:val="0"/>
          <w:i w:val="0"/>
          <w:sz w:val="28"/>
        </w:rPr>
        <w:t>Специфіка впливу стрес-факторів на когнітивну та мовленнєву сфери дітей старшого дошкільного віку систематизована в таблиці 1.2.</w:t>
      </w:r>
    </w:p>
    <w:p>
      <w:pPr>
        <w:ind w:firstLine="0"/>
        <w:jc w:val="right"/>
        <w:spacing w:line="360" w:lineRule="auto"/>
      </w:pPr>
      <w:r>
        <w:rPr>
          <w:rFonts w:ascii="Times New Roman" w:hAnsi="Times New Roman" w:eastAsia="Times New Roman"/>
          <w:b w:val="0"/>
          <w:i w:val="0"/>
          <w:sz w:val="28"/>
        </w:rPr>
        <w:t>Таблиця 1.2</w:t>
      </w:r>
    </w:p>
    <w:p>
      <w:pPr>
        <w:ind w:firstLine="0"/>
        <w:jc w:val="center"/>
        <w:spacing w:line="360" w:lineRule="auto"/>
      </w:pPr>
      <w:r>
        <w:rPr>
          <w:rFonts w:ascii="Times New Roman" w:hAnsi="Times New Roman" w:eastAsia="Times New Roman"/>
          <w:b/>
          <w:i w:val="0"/>
          <w:sz w:val="28"/>
        </w:rPr>
        <w:t>Прояви впливу екстремальної невизначеності на когнітивну та мовленнєву сфери старшого дошкільника</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Сфера впливу</w:t>
            </w:r>
          </w:p>
        </w:tc>
        <w:tc>
          <w:tcPr>
            <w:tcW w:type="dxa" w:w="3213"/>
          </w:tcPr>
          <w:p>
            <w:pPr>
              <w:jc w:val="center"/>
              <w:spacing w:line="360" w:lineRule="auto"/>
            </w:pPr>
            <w:r>
              <w:rPr>
                <w:rFonts w:ascii="Times New Roman" w:hAnsi="Times New Roman" w:eastAsia="Times New Roman"/>
                <w:b/>
                <w:i w:val="0"/>
                <w:sz w:val="24"/>
              </w:rPr>
              <w:t>Психологічні прояви</w:t>
            </w:r>
          </w:p>
        </w:tc>
        <w:tc>
          <w:tcPr>
            <w:tcW w:type="dxa" w:w="3213"/>
          </w:tcPr>
          <w:p>
            <w:pPr>
              <w:jc w:val="center"/>
              <w:spacing w:line="360" w:lineRule="auto"/>
            </w:pPr>
            <w:r>
              <w:rPr>
                <w:rFonts w:ascii="Times New Roman" w:hAnsi="Times New Roman" w:eastAsia="Times New Roman"/>
                <w:b/>
                <w:i w:val="0"/>
                <w:sz w:val="24"/>
              </w:rPr>
              <w:t>Мовленнєві прояви</w:t>
            </w:r>
          </w:p>
        </w:tc>
      </w:tr>
      <w:tr>
        <w:tc>
          <w:tcPr>
            <w:tcW w:type="dxa" w:w="3213"/>
          </w:tcPr>
          <w:p>
            <w:pPr>
              <w:jc w:val="left"/>
              <w:spacing w:line="360" w:lineRule="auto"/>
            </w:pPr>
            <w:r>
              <w:rPr>
                <w:rFonts w:ascii="Times New Roman" w:hAnsi="Times New Roman" w:eastAsia="Times New Roman"/>
                <w:b w:val="0"/>
                <w:i w:val="0"/>
                <w:sz w:val="24"/>
              </w:rPr>
              <w:t>Увага</w:t>
            </w:r>
          </w:p>
        </w:tc>
        <w:tc>
          <w:tcPr>
            <w:tcW w:type="dxa" w:w="3213"/>
          </w:tcPr>
          <w:p>
            <w:pPr>
              <w:jc w:val="left"/>
              <w:spacing w:line="360" w:lineRule="auto"/>
            </w:pPr>
            <w:r>
              <w:rPr>
                <w:rFonts w:ascii="Times New Roman" w:hAnsi="Times New Roman" w:eastAsia="Times New Roman"/>
                <w:b w:val="0"/>
                <w:i w:val="0"/>
                <w:sz w:val="24"/>
              </w:rPr>
              <w:t>Гіперпильність; звуження обсягу; порушення довільного зосередження; відволікання на зовнішні стимули</w:t>
            </w:r>
          </w:p>
        </w:tc>
        <w:tc>
          <w:tcPr>
            <w:tcW w:type="dxa" w:w="3213"/>
          </w:tcPr>
          <w:p>
            <w:pPr>
              <w:jc w:val="left"/>
              <w:spacing w:line="360" w:lineRule="auto"/>
            </w:pPr>
            <w:r>
              <w:rPr>
                <w:rFonts w:ascii="Times New Roman" w:hAnsi="Times New Roman" w:eastAsia="Times New Roman"/>
                <w:b w:val="0"/>
                <w:i w:val="0"/>
                <w:sz w:val="24"/>
              </w:rPr>
              <w:t>Труднощі у сприйнятті та відтворенні зв'язних текстів; часті паузи й незакінчені фрази</w:t>
            </w:r>
          </w:p>
        </w:tc>
      </w:tr>
      <w:tr>
        <w:tc>
          <w:tcPr>
            <w:tcW w:type="dxa" w:w="3213"/>
          </w:tcPr>
          <w:p>
            <w:pPr>
              <w:jc w:val="left"/>
              <w:spacing w:line="360" w:lineRule="auto"/>
            </w:pPr>
            <w:r>
              <w:rPr>
                <w:rFonts w:ascii="Times New Roman" w:hAnsi="Times New Roman" w:eastAsia="Times New Roman"/>
                <w:b w:val="0"/>
                <w:i w:val="0"/>
                <w:sz w:val="24"/>
              </w:rPr>
              <w:t>Пам'ять</w:t>
            </w:r>
          </w:p>
        </w:tc>
        <w:tc>
          <w:tcPr>
            <w:tcW w:type="dxa" w:w="3213"/>
          </w:tcPr>
          <w:p>
            <w:pPr>
              <w:jc w:val="left"/>
              <w:spacing w:line="360" w:lineRule="auto"/>
            </w:pPr>
            <w:r>
              <w:rPr>
                <w:rFonts w:ascii="Times New Roman" w:hAnsi="Times New Roman" w:eastAsia="Times New Roman"/>
                <w:b w:val="0"/>
                <w:i w:val="0"/>
                <w:sz w:val="24"/>
              </w:rPr>
              <w:t>Дисфункція робочої пам'яті; утруднена консолідація нового матеріалу; наявність флешбеків та нічних страхів</w:t>
            </w:r>
          </w:p>
        </w:tc>
        <w:tc>
          <w:tcPr>
            <w:tcW w:type="dxa" w:w="3213"/>
          </w:tcPr>
          <w:p>
            <w:pPr>
              <w:jc w:val="left"/>
              <w:spacing w:line="360" w:lineRule="auto"/>
            </w:pPr>
            <w:r>
              <w:rPr>
                <w:rFonts w:ascii="Times New Roman" w:hAnsi="Times New Roman" w:eastAsia="Times New Roman"/>
                <w:b w:val="0"/>
                <w:i w:val="0"/>
                <w:sz w:val="24"/>
              </w:rPr>
              <w:t>Збіднення активного словника; труднощі пригадування слів; регресія до раніших мовленнєвих форм</w:t>
            </w:r>
          </w:p>
        </w:tc>
      </w:tr>
      <w:tr>
        <w:tc>
          <w:tcPr>
            <w:tcW w:type="dxa" w:w="3213"/>
          </w:tcPr>
          <w:p>
            <w:pPr>
              <w:jc w:val="left"/>
              <w:spacing w:line="360" w:lineRule="auto"/>
            </w:pPr>
            <w:r>
              <w:rPr>
                <w:rFonts w:ascii="Times New Roman" w:hAnsi="Times New Roman" w:eastAsia="Times New Roman"/>
                <w:b w:val="0"/>
                <w:i w:val="0"/>
                <w:sz w:val="24"/>
              </w:rPr>
              <w:t>Мислення</w:t>
            </w:r>
          </w:p>
        </w:tc>
        <w:tc>
          <w:tcPr>
            <w:tcW w:type="dxa" w:w="3213"/>
          </w:tcPr>
          <w:p>
            <w:pPr>
              <w:jc w:val="left"/>
              <w:spacing w:line="360" w:lineRule="auto"/>
            </w:pPr>
            <w:r>
              <w:rPr>
                <w:rFonts w:ascii="Times New Roman" w:hAnsi="Times New Roman" w:eastAsia="Times New Roman"/>
                <w:b w:val="0"/>
                <w:i w:val="0"/>
                <w:sz w:val="24"/>
              </w:rPr>
              <w:t>Конкретно-ситуативний характер; знижена здатність до узагальнення; труднощі з плануванням та антиципацією</w:t>
            </w:r>
          </w:p>
        </w:tc>
        <w:tc>
          <w:tcPr>
            <w:tcW w:type="dxa" w:w="3213"/>
          </w:tcPr>
          <w:p>
            <w:pPr>
              <w:jc w:val="left"/>
              <w:spacing w:line="360" w:lineRule="auto"/>
            </w:pPr>
            <w:r>
              <w:rPr>
                <w:rFonts w:ascii="Times New Roman" w:hAnsi="Times New Roman" w:eastAsia="Times New Roman"/>
                <w:b w:val="0"/>
                <w:i w:val="0"/>
                <w:sz w:val="24"/>
              </w:rPr>
              <w:t>Труднощі зв'язного монологічного мовлення; спрощення граматичних конструкцій; порушення логіки розповіді</w:t>
            </w:r>
          </w:p>
        </w:tc>
      </w:tr>
      <w:tr>
        <w:tc>
          <w:tcPr>
            <w:tcW w:type="dxa" w:w="3213"/>
          </w:tcPr>
          <w:p>
            <w:pPr>
              <w:jc w:val="left"/>
              <w:spacing w:line="360" w:lineRule="auto"/>
            </w:pPr>
            <w:r>
              <w:rPr>
                <w:rFonts w:ascii="Times New Roman" w:hAnsi="Times New Roman" w:eastAsia="Times New Roman"/>
                <w:b w:val="0"/>
                <w:i w:val="0"/>
                <w:sz w:val="24"/>
              </w:rPr>
              <w:t>Емоційна регуляція</w:t>
            </w:r>
          </w:p>
        </w:tc>
        <w:tc>
          <w:tcPr>
            <w:tcW w:type="dxa" w:w="3213"/>
          </w:tcPr>
          <w:p>
            <w:pPr>
              <w:jc w:val="left"/>
              <w:spacing w:line="360" w:lineRule="auto"/>
            </w:pPr>
            <w:r>
              <w:rPr>
                <w:rFonts w:ascii="Times New Roman" w:hAnsi="Times New Roman" w:eastAsia="Times New Roman"/>
                <w:b w:val="0"/>
                <w:i w:val="0"/>
                <w:sz w:val="24"/>
              </w:rPr>
              <w:t>Тривожність, страхи, плаксивість; агресивна або загальмована поведінка; мутизм як крайній прояв</w:t>
            </w:r>
          </w:p>
        </w:tc>
        <w:tc>
          <w:tcPr>
            <w:tcW w:type="dxa" w:w="3213"/>
          </w:tcPr>
          <w:p>
            <w:pPr>
              <w:jc w:val="left"/>
              <w:spacing w:line="360" w:lineRule="auto"/>
            </w:pPr>
            <w:r>
              <w:rPr>
                <w:rFonts w:ascii="Times New Roman" w:hAnsi="Times New Roman" w:eastAsia="Times New Roman"/>
                <w:b w:val="0"/>
                <w:i w:val="0"/>
                <w:sz w:val="24"/>
              </w:rPr>
              <w:t>Підвищена мовленнєва імпульсивність або мовленнєве гальмування; ехолалія; регресивне белькотіння</w:t>
            </w:r>
          </w:p>
        </w:tc>
      </w:tr>
      <w:tr>
        <w:tc>
          <w:tcPr>
            <w:tcW w:type="dxa" w:w="3213"/>
          </w:tcPr>
          <w:p>
            <w:pPr>
              <w:jc w:val="left"/>
              <w:spacing w:line="360" w:lineRule="auto"/>
            </w:pPr>
            <w:r>
              <w:rPr>
                <w:rFonts w:ascii="Times New Roman" w:hAnsi="Times New Roman" w:eastAsia="Times New Roman"/>
                <w:b w:val="0"/>
                <w:i w:val="0"/>
                <w:sz w:val="24"/>
              </w:rPr>
              <w:t>Комунікація</w:t>
            </w:r>
          </w:p>
        </w:tc>
        <w:tc>
          <w:tcPr>
            <w:tcW w:type="dxa" w:w="3213"/>
          </w:tcPr>
          <w:p>
            <w:pPr>
              <w:jc w:val="left"/>
              <w:spacing w:line="360" w:lineRule="auto"/>
            </w:pPr>
            <w:r>
              <w:rPr>
                <w:rFonts w:ascii="Times New Roman" w:hAnsi="Times New Roman" w:eastAsia="Times New Roman"/>
                <w:b w:val="0"/>
                <w:i w:val="0"/>
                <w:sz w:val="24"/>
              </w:rPr>
              <w:t>Соціальне уникнення; знижена ініціативність у спілкуванні; порушення встановлення контакту</w:t>
            </w:r>
          </w:p>
        </w:tc>
        <w:tc>
          <w:tcPr>
            <w:tcW w:type="dxa" w:w="3213"/>
          </w:tcPr>
          <w:p>
            <w:pPr>
              <w:jc w:val="left"/>
              <w:spacing w:line="360" w:lineRule="auto"/>
            </w:pPr>
            <w:r>
              <w:rPr>
                <w:rFonts w:ascii="Times New Roman" w:hAnsi="Times New Roman" w:eastAsia="Times New Roman"/>
                <w:b w:val="0"/>
                <w:i w:val="0"/>
                <w:sz w:val="24"/>
              </w:rPr>
              <w:t>Зниження комунікативної активності; відмова від монологічного мовлення; заміна мовлення жестами</w:t>
            </w:r>
          </w:p>
        </w:tc>
      </w:tr>
      <w:tr>
        <w:tc>
          <w:tcPr>
            <w:tcW w:type="dxa" w:w="3213"/>
          </w:tcPr>
          <w:p>
            <w:pPr>
              <w:jc w:val="left"/>
              <w:spacing w:line="360" w:lineRule="auto"/>
            </w:pPr>
            <w:r>
              <w:rPr>
                <w:rFonts w:ascii="Times New Roman" w:hAnsi="Times New Roman" w:eastAsia="Times New Roman"/>
                <w:b w:val="0"/>
                <w:i w:val="0"/>
                <w:sz w:val="24"/>
              </w:rPr>
              <w:t>Сенсомоторна інтеграція</w:t>
            </w:r>
          </w:p>
        </w:tc>
        <w:tc>
          <w:tcPr>
            <w:tcW w:type="dxa" w:w="3213"/>
          </w:tcPr>
          <w:p>
            <w:pPr>
              <w:jc w:val="left"/>
              <w:spacing w:line="360" w:lineRule="auto"/>
            </w:pPr>
            <w:r>
              <w:rPr>
                <w:rFonts w:ascii="Times New Roman" w:hAnsi="Times New Roman" w:eastAsia="Times New Roman"/>
                <w:b w:val="0"/>
                <w:i w:val="0"/>
                <w:sz w:val="24"/>
              </w:rPr>
              <w:t>Порушення тілесної схеми; гіпер- або гіпосенситивність; рухові стереотипії</w:t>
            </w:r>
          </w:p>
        </w:tc>
        <w:tc>
          <w:tcPr>
            <w:tcW w:type="dxa" w:w="3213"/>
          </w:tcPr>
          <w:p>
            <w:pPr>
              <w:jc w:val="left"/>
              <w:spacing w:line="360" w:lineRule="auto"/>
            </w:pPr>
            <w:r>
              <w:rPr>
                <w:rFonts w:ascii="Times New Roman" w:hAnsi="Times New Roman" w:eastAsia="Times New Roman"/>
                <w:b w:val="0"/>
                <w:i w:val="0"/>
                <w:sz w:val="24"/>
              </w:rPr>
              <w:t>Труднощі артикуляції та дрібної моторики; регрес у фонетичній чіткості мовлення; темпо-ритмічні порушення</w:t>
            </w:r>
          </w:p>
        </w:tc>
      </w:tr>
    </w:tbl>
    <w:p>
      <w:pPr>
        <w:ind w:firstLine="0"/>
        <w:jc w:val="both"/>
        <w:spacing w:line="360" w:lineRule="auto"/>
      </w:pPr>
      <w:r>
        <w:rPr>
          <w:rFonts w:ascii="Times New Roman" w:hAnsi="Times New Roman" w:eastAsia="Times New Roman"/>
          <w:b w:val="0"/>
          <w:i/>
          <w:sz w:val="28"/>
        </w:rPr>
        <w:t>Джерело: складено автором на основі [5; 11; 20; 22; 24; 30; 35].</w:t>
      </w:r>
    </w:p>
    <w:p>
      <w:pPr>
        <w:ind w:firstLine="709"/>
        <w:jc w:val="both"/>
        <w:spacing w:line="360" w:lineRule="auto"/>
      </w:pPr>
      <w:r>
        <w:rPr>
          <w:rFonts w:ascii="Times New Roman" w:hAnsi="Times New Roman" w:eastAsia="Times New Roman"/>
          <w:b w:val="0"/>
          <w:i w:val="0"/>
          <w:sz w:val="28"/>
        </w:rPr>
        <w:t>Окремої уваги заслуговує феномен регресії мовленнєвого розвитку, що є одним із найхарактерніших наслідків психотравматичного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(електив-ний мутизм), повторення окремих слів та фраз (ехолалія). О. В. Романенко зазначає, що регресія мовлення є 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pPr>
        <w:ind w:firstLine="709"/>
        <w:jc w:val="both"/>
        <w:spacing w:line="360" w:lineRule="auto"/>
      </w:pPr>
      <w:r>
        <w:rPr>
          <w:rFonts w:ascii="Times New Roman" w:hAnsi="Times New Roman" w:eastAsia="Times New Roman"/>
          <w:b w:val="0"/>
          <w:i w:val="0"/>
          <w:sz w:val="28"/>
        </w:rPr>
        <w:t>Загальну схему впливу стрес-факторів екстремальної невизначеності на мовленнєвий розвиток дошкільника представлено на рис. 1.2.</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ЕКСТРЕМАЛЬНА НЕВИЗНАЧЕНІСТЬ (воєнний стан, вимушене переселення, розлука з близькими)</w:t>
            </w:r>
          </w:p>
        </w:tc>
      </w:tr>
      <w:tr>
        <w:tc>
          <w:tcPr>
            <w:tcW w:type="dxa" w:w="3213"/>
          </w:tcPr>
          <w:p>
            <w:pPr>
              <w:jc w:val="center"/>
              <w:spacing w:line="360" w:lineRule="auto"/>
            </w:pPr>
            <w:r>
              <w:rPr>
                <w:rFonts w:ascii="Times New Roman" w:hAnsi="Times New Roman" w:eastAsia="Times New Roman"/>
                <w:b w:val="0"/>
                <w:i w:val="0"/>
                <w:sz w:val="22"/>
              </w:rPr>
              <w:t>Нейрофізіо-</w:t>
              <w:br/>
              <w:t>логічний рівень</w:t>
              <w:br/>
              <w:t>(активація системи</w:t>
              <w:br/>
              <w:t>стрес-реакції)</w:t>
            </w:r>
          </w:p>
        </w:tc>
        <w:tc>
          <w:tcPr>
            <w:tcW w:type="dxa" w:w="3213"/>
          </w:tcPr>
          <w:p>
            <w:pPr>
              <w:jc w:val="center"/>
              <w:spacing w:line="360" w:lineRule="auto"/>
            </w:pPr>
            <w:r>
              <w:rPr>
                <w:rFonts w:ascii="Times New Roman" w:hAnsi="Times New Roman" w:eastAsia="Times New Roman"/>
                <w:b w:val="0"/>
                <w:i w:val="0"/>
                <w:sz w:val="22"/>
              </w:rPr>
              <w:t>Когнітивний рівень</w:t>
              <w:br/>
              <w:t>(порушення уваги,</w:t>
              <w:br/>
              <w:t>пам'яті, мислення)</w:t>
            </w:r>
          </w:p>
        </w:tc>
        <w:tc>
          <w:tcPr>
            <w:tcW w:type="dxa" w:w="3213"/>
          </w:tcPr>
          <w:p>
            <w:pPr>
              <w:jc w:val="center"/>
              <w:spacing w:line="360" w:lineRule="auto"/>
            </w:pPr>
            <w:r>
              <w:rPr>
                <w:rFonts w:ascii="Times New Roman" w:hAnsi="Times New Roman" w:eastAsia="Times New Roman"/>
                <w:b w:val="0"/>
                <w:i w:val="0"/>
                <w:sz w:val="22"/>
              </w:rPr>
              <w:t>Комунікативний</w:t>
              <w:br/>
              <w:t>рівень</w:t>
              <w:br/>
              <w:t>(соціальне уникнення,</w:t>
              <w:br/>
              <w:t>ізоляція)</w:t>
            </w:r>
          </w:p>
        </w:tc>
      </w:tr>
      <w:tr>
        <w:tc>
          <w:tcPr>
            <w:tcW w:type="dxa" w:w="9639"/>
            <w:gridSpan w:val="3"/>
          </w:tcPr>
          <w:p>
            <w:pPr>
              <w:jc w:val="center"/>
              <w:spacing w:line="360" w:lineRule="auto"/>
            </w:pPr>
            <w:r>
              <w:rPr>
                <w:rFonts w:ascii="Times New Roman" w:hAnsi="Times New Roman" w:eastAsia="Times New Roman"/>
                <w:b/>
                <w:i w:val="0"/>
                <w:sz w:val="22"/>
              </w:rPr>
              <w:t>ТРУДНОЩІ МОВЛЕННЄВОГО РОЗВИТКУ</w:t>
              <w:br/>
              <w:t>(регресія, мутизм, темпо-ритмічні порушення, збіднення словника, порушення зв'язного мовлення)</w:t>
            </w:r>
          </w:p>
        </w:tc>
      </w:tr>
    </w:tbl>
    <w:p>
      <w:pPr>
        <w:ind w:firstLine="0"/>
        <w:jc w:val="center"/>
        <w:spacing w:line="360" w:lineRule="auto"/>
      </w:pPr>
      <w:r>
        <w:rPr>
          <w:rFonts w:ascii="Times New Roman" w:hAnsi="Times New Roman" w:eastAsia="Times New Roman"/>
          <w:b w:val="0"/>
          <w:i/>
          <w:sz w:val="28"/>
        </w:rPr>
        <w:t>Рис. 1.2 Механізм впливу екстремальної невизначеності на мовленнєвий розвиток старшого дошкільника</w:t>
      </w:r>
    </w:p>
    <w:p>
      <w:pPr>
        <w:ind w:firstLine="709"/>
        <w:jc w:val="both"/>
        <w:spacing w:line="360" w:lineRule="auto"/>
      </w:pPr>
      <w:r>
        <w:rPr>
          <w:rFonts w:ascii="Times New Roman" w:hAnsi="Times New Roman" w:eastAsia="Times New Roman"/>
          <w:b w:val="0"/>
          <w:i w:val="0"/>
          <w:sz w:val="28"/>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p>
      <w:pPr>
        <w:ind w:firstLine="0"/>
        <w:jc w:val="both"/>
        <w:spacing w:line="360" w:lineRule="auto"/>
      </w:pPr>
      <w:r>
        <w:rPr>
          <w:rFonts w:ascii="Times New Roman" w:hAnsi="Times New Roman" w:eastAsia="Times New Roman"/>
          <w:b/>
          <w:i w:val="0"/>
          <w:sz w:val="28"/>
        </w:rPr>
        <w:t>1.3. Наукові підходи до превенції труднощів мовлення в сучасній логопсихології</w:t>
      </w:r>
    </w:p>
    <w:p>
      <w:pPr>
        <w:ind w:firstLine="709"/>
        <w:jc w:val="both"/>
        <w:spacing w:line="360" w:lineRule="auto"/>
      </w:pPr>
      <w:r>
        <w:rPr>
          <w:rFonts w:ascii="Times New Roman" w:hAnsi="Times New Roman" w:eastAsia="Times New Roman"/>
          <w:b w:val="0"/>
          <w:i w:val="0"/>
          <w:sz w:val="28"/>
        </w:rPr>
        <w:t>Превенція мовленнєвих порушень є одним із пріоритетних напрямів сучасної логопедії та логопсихології. На відміну від корекційної роботи, яка спрямована на подолання вже наявних порушень, превентивна діяльність має на меті запобігання їх виникненню або пом'якшення несприятливих умов, що можуть призвести до мовленнєвих труднощів [4]. У сучасній науці склалося кілька ключових підходів до превенції мовленнєвих труднощів, кожен із яких акцентує на різних аспектах цього складного процесу.</w:t>
      </w:r>
    </w:p>
    <w:p>
      <w:pPr>
        <w:ind w:firstLine="709"/>
        <w:jc w:val="both"/>
        <w:spacing w:line="360" w:lineRule="auto"/>
      </w:pPr>
      <w:r>
        <w:rPr>
          <w:rFonts w:ascii="Times New Roman" w:hAnsi="Times New Roman" w:eastAsia="Times New Roman"/>
          <w:b w:val="0"/>
          <w:i w:val="0"/>
          <w:sz w:val="28"/>
        </w:rPr>
        <w:t>Нейропсихологічний підхід до превенції мовленнєвих порушень ґрунтується на дослідженнях О. Р. Лурії та А. В. Семенович [19; 32]. Відповідно до цього підходу, мовленнєві функції забезпечуються складною ієрархічною системою мозкових зон, тому превентивна робота має бути спрямована на стимуляцію базових нейропсихологічних передумов: тілесної схеми, сенсомоторної інтеграції, просторово-часових уявлень та довільної регуляції. А. В. Семенович запропонувала систему нейропсихологічної корекції та профілактики, що включає комплекс тілесно-орієнтованих вправ («Метод заміщаючого онтогенезу»), здатних зміцнювати нейробіологічний фундамент мовленнєвої діяльності ще до появи видимих порушень [32].</w:t>
      </w:r>
    </w:p>
    <w:p>
      <w:pPr>
        <w:ind w:firstLine="709"/>
        <w:jc w:val="both"/>
        <w:spacing w:line="360" w:lineRule="auto"/>
      </w:pPr>
      <w:r>
        <w:rPr>
          <w:rFonts w:ascii="Times New Roman" w:hAnsi="Times New Roman" w:eastAsia="Times New Roman"/>
          <w:b w:val="0"/>
          <w:i w:val="0"/>
          <w:sz w:val="28"/>
        </w:rPr>
        <w:t>Комунікативно-діяльнісний підхід, що розвивається у працях А. М. Богуш, Т. О. Піроженко та М. К. Шеремет [1; 26; 44], розглядає мовлення передусім як засіб спілкування і соціальної взаємодії. Превентивна робота в рамках цього підходу передбачає насичення соціального середовища дитини різноманітними комунікативними ситуаціями, організацію партнерської взаємодії «дитина–дорослий» та «дитина–дитина», використання дитячої субкультури (ігор, лічилок, казок) як природного мовленнєвого середовища. В умовах воєнного стану, коли традиційні комунікативні мережі руйнуються, цілеспрямоване відтворення комунікативного середовища набуває особливої превентивної цінності [44].</w:t>
      </w:r>
    </w:p>
    <w:p>
      <w:pPr>
        <w:ind w:firstLine="709"/>
        <w:jc w:val="both"/>
        <w:spacing w:line="360" w:lineRule="auto"/>
      </w:pPr>
      <w:r>
        <w:rPr>
          <w:rFonts w:ascii="Times New Roman" w:hAnsi="Times New Roman" w:eastAsia="Times New Roman"/>
          <w:b w:val="0"/>
          <w:i w:val="0"/>
          <w:sz w:val="28"/>
        </w:rPr>
        <w:t>Психотерапевтично-орієнтований підхід до превенції мовленнєвих порушень набув значного розвитку в останні десятиліття у зв'язку з усвідомленням зв'язку між емоційним станом та мовленнєвою діяльністю [10; 15; 36]. Він включає методи арт-терапії, казкотерапії, ігрової терапії та тілесно-орієнтованої психотерапії. І. А. Пінчук і К. Л. Мілютіна наголошують, що в умовах психотравматичного досвіду саме психотерапевтичний компонент превентивної роботи є першочерговим, оскільки без стабілізації емоційного стану жодна логопедична методика не матиме належного ефекту [20; 27]. Порівняльний аналіз основних наукових підходів до превенції мовленнєвих труднощів наведено в таблиці 1.3.</w:t>
      </w:r>
    </w:p>
    <w:p>
      <w:pPr>
        <w:ind w:firstLine="0"/>
        <w:jc w:val="right"/>
        <w:spacing w:line="360" w:lineRule="auto"/>
      </w:pPr>
      <w:r>
        <w:rPr>
          <w:rFonts w:ascii="Times New Roman" w:hAnsi="Times New Roman" w:eastAsia="Times New Roman"/>
          <w:b w:val="0"/>
          <w:i w:val="0"/>
          <w:sz w:val="28"/>
        </w:rPr>
        <w:t>Таблиця 1.3</w:t>
      </w:r>
    </w:p>
    <w:p>
      <w:pPr>
        <w:ind w:firstLine="0"/>
        <w:jc w:val="center"/>
        <w:spacing w:line="360" w:lineRule="auto"/>
      </w:pPr>
      <w:r>
        <w:rPr>
          <w:rFonts w:ascii="Times New Roman" w:hAnsi="Times New Roman" w:eastAsia="Times New Roman"/>
          <w:b/>
          <w:i w:val="0"/>
          <w:sz w:val="28"/>
        </w:rPr>
        <w:t>Порівняльний аналіз наукових підходів до превенції труднощів мовлення в логопсихології</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Підхід</w:t>
            </w:r>
          </w:p>
        </w:tc>
        <w:tc>
          <w:tcPr>
            <w:tcW w:type="dxa" w:w="2410"/>
          </w:tcPr>
          <w:p>
            <w:pPr>
              <w:jc w:val="center"/>
              <w:spacing w:line="360" w:lineRule="auto"/>
            </w:pPr>
            <w:r>
              <w:rPr>
                <w:rFonts w:ascii="Times New Roman" w:hAnsi="Times New Roman" w:eastAsia="Times New Roman"/>
                <w:b/>
                <w:i w:val="0"/>
                <w:sz w:val="24"/>
              </w:rPr>
              <w:t>Представники</w:t>
            </w:r>
          </w:p>
        </w:tc>
        <w:tc>
          <w:tcPr>
            <w:tcW w:type="dxa" w:w="2410"/>
          </w:tcPr>
          <w:p>
            <w:pPr>
              <w:jc w:val="center"/>
              <w:spacing w:line="360" w:lineRule="auto"/>
            </w:pPr>
            <w:r>
              <w:rPr>
                <w:rFonts w:ascii="Times New Roman" w:hAnsi="Times New Roman" w:eastAsia="Times New Roman"/>
                <w:b/>
                <w:i w:val="0"/>
                <w:sz w:val="24"/>
              </w:rPr>
              <w:t>Ключові принципи</w:t>
            </w:r>
          </w:p>
        </w:tc>
        <w:tc>
          <w:tcPr>
            <w:tcW w:type="dxa" w:w="2410"/>
          </w:tcPr>
          <w:p>
            <w:pPr>
              <w:jc w:val="center"/>
              <w:spacing w:line="360" w:lineRule="auto"/>
            </w:pPr>
            <w:r>
              <w:rPr>
                <w:rFonts w:ascii="Times New Roman" w:hAnsi="Times New Roman" w:eastAsia="Times New Roman"/>
                <w:b/>
                <w:i w:val="0"/>
                <w:sz w:val="24"/>
              </w:rPr>
              <w:t>Методи і форми роботи</w:t>
            </w:r>
          </w:p>
        </w:tc>
      </w:tr>
      <w:tr>
        <w:tc>
          <w:tcPr>
            <w:tcW w:type="dxa" w:w="2410"/>
          </w:tcPr>
          <w:p>
            <w:pPr>
              <w:jc w:val="left"/>
              <w:spacing w:line="360" w:lineRule="auto"/>
            </w:pPr>
            <w:r>
              <w:rPr>
                <w:rFonts w:ascii="Times New Roman" w:hAnsi="Times New Roman" w:eastAsia="Times New Roman"/>
                <w:b w:val="0"/>
                <w:i w:val="0"/>
                <w:sz w:val="24"/>
              </w:rPr>
              <w:t>Нейропсихо-</w:t>
              <w:br/>
              <w:t>логічний</w:t>
            </w:r>
          </w:p>
        </w:tc>
        <w:tc>
          <w:tcPr>
            <w:tcW w:type="dxa" w:w="2410"/>
          </w:tcPr>
          <w:p>
            <w:pPr>
              <w:jc w:val="left"/>
              <w:spacing w:line="360" w:lineRule="auto"/>
            </w:pPr>
            <w:r>
              <w:rPr>
                <w:rFonts w:ascii="Times New Roman" w:hAnsi="Times New Roman" w:eastAsia="Times New Roman"/>
                <w:b w:val="0"/>
                <w:i w:val="0"/>
                <w:sz w:val="24"/>
              </w:rPr>
              <w:t>О. Р. Лурія,</w:t>
              <w:br/>
              <w:t>А. В. Семенович</w:t>
            </w:r>
          </w:p>
        </w:tc>
        <w:tc>
          <w:tcPr>
            <w:tcW w:type="dxa" w:w="2410"/>
          </w:tcPr>
          <w:p>
            <w:pPr>
              <w:jc w:val="left"/>
              <w:spacing w:line="360" w:lineRule="auto"/>
            </w:pPr>
            <w:r>
              <w:rPr>
                <w:rFonts w:ascii="Times New Roman" w:hAnsi="Times New Roman" w:eastAsia="Times New Roman"/>
                <w:b w:val="0"/>
                <w:i w:val="0"/>
                <w:sz w:val="24"/>
              </w:rPr>
              <w:t>Стимуляція базових нейропсихо-логічних функцій; принцип заміщаючого онтогенезу</w:t>
            </w:r>
          </w:p>
        </w:tc>
        <w:tc>
          <w:tcPr>
            <w:tcW w:type="dxa" w:w="2410"/>
          </w:tcPr>
          <w:p>
            <w:pPr>
              <w:jc w:val="left"/>
              <w:spacing w:line="360" w:lineRule="auto"/>
            </w:pPr>
            <w:r>
              <w:rPr>
                <w:rFonts w:ascii="Times New Roman" w:hAnsi="Times New Roman" w:eastAsia="Times New Roman"/>
                <w:b w:val="0"/>
                <w:i w:val="0"/>
                <w:sz w:val="24"/>
              </w:rPr>
              <w:t>Тілесно-орієнтовані вправи; сенсорна інтеграція; ритміко-рухові техніки</w:t>
            </w:r>
          </w:p>
        </w:tc>
      </w:tr>
      <w:tr>
        <w:tc>
          <w:tcPr>
            <w:tcW w:type="dxa" w:w="2410"/>
          </w:tcPr>
          <w:p>
            <w:pPr>
              <w:jc w:val="left"/>
              <w:spacing w:line="360" w:lineRule="auto"/>
            </w:pPr>
            <w:r>
              <w:rPr>
                <w:rFonts w:ascii="Times New Roman" w:hAnsi="Times New Roman" w:eastAsia="Times New Roman"/>
                <w:b w:val="0"/>
                <w:i w:val="0"/>
                <w:sz w:val="24"/>
              </w:rPr>
              <w:t>Комунікативно-</w:t>
              <w:br/>
              <w:t>діяльнісний</w:t>
            </w:r>
          </w:p>
        </w:tc>
        <w:tc>
          <w:tcPr>
            <w:tcW w:type="dxa" w:w="2410"/>
          </w:tcPr>
          <w:p>
            <w:pPr>
              <w:jc w:val="left"/>
              <w:spacing w:line="360" w:lineRule="auto"/>
            </w:pPr>
            <w:r>
              <w:rPr>
                <w:rFonts w:ascii="Times New Roman" w:hAnsi="Times New Roman" w:eastAsia="Times New Roman"/>
                <w:b w:val="0"/>
                <w:i w:val="0"/>
                <w:sz w:val="24"/>
              </w:rPr>
              <w:t>А. М. Богуш,</w:t>
              <w:br/>
              <w:t>Т. О. Піроженко,</w:t>
              <w:br/>
              <w:t>М. К. Шеремет</w:t>
            </w:r>
          </w:p>
        </w:tc>
        <w:tc>
          <w:tcPr>
            <w:tcW w:type="dxa" w:w="2410"/>
          </w:tcPr>
          <w:p>
            <w:pPr>
              <w:jc w:val="left"/>
              <w:spacing w:line="360" w:lineRule="auto"/>
            </w:pPr>
            <w:r>
              <w:rPr>
                <w:rFonts w:ascii="Times New Roman" w:hAnsi="Times New Roman" w:eastAsia="Times New Roman"/>
                <w:b w:val="0"/>
                <w:i w:val="0"/>
                <w:sz w:val="24"/>
              </w:rPr>
              <w:t>Мовлення як діяльність; пріоритет спілкування; зона найближчого розвитку</w:t>
            </w:r>
          </w:p>
        </w:tc>
        <w:tc>
          <w:tcPr>
            <w:tcW w:type="dxa" w:w="2410"/>
          </w:tcPr>
          <w:p>
            <w:pPr>
              <w:jc w:val="left"/>
              <w:spacing w:line="360" w:lineRule="auto"/>
            </w:pPr>
            <w:r>
              <w:rPr>
                <w:rFonts w:ascii="Times New Roman" w:hAnsi="Times New Roman" w:eastAsia="Times New Roman"/>
                <w:b w:val="0"/>
                <w:i w:val="0"/>
                <w:sz w:val="24"/>
              </w:rPr>
              <w:t>Партнерська взаємодія; сюжетно-рольові ігри; розвивальне середовище</w:t>
            </w:r>
          </w:p>
        </w:tc>
      </w:tr>
      <w:tr>
        <w:tc>
          <w:tcPr>
            <w:tcW w:type="dxa" w:w="2410"/>
          </w:tcPr>
          <w:p>
            <w:pPr>
              <w:jc w:val="left"/>
              <w:spacing w:line="360" w:lineRule="auto"/>
            </w:pPr>
            <w:r>
              <w:rPr>
                <w:rFonts w:ascii="Times New Roman" w:hAnsi="Times New Roman" w:eastAsia="Times New Roman"/>
                <w:b w:val="0"/>
                <w:i w:val="0"/>
                <w:sz w:val="24"/>
              </w:rPr>
              <w:t>Психотерапевтично-</w:t>
              <w:br/>
              <w:t>орієнтований</w:t>
            </w:r>
          </w:p>
        </w:tc>
        <w:tc>
          <w:tcPr>
            <w:tcW w:type="dxa" w:w="2410"/>
          </w:tcPr>
          <w:p>
            <w:pPr>
              <w:jc w:val="left"/>
              <w:spacing w:line="360" w:lineRule="auto"/>
            </w:pPr>
            <w:r>
              <w:rPr>
                <w:rFonts w:ascii="Times New Roman" w:hAnsi="Times New Roman" w:eastAsia="Times New Roman"/>
                <w:b w:val="0"/>
                <w:i w:val="0"/>
                <w:sz w:val="24"/>
              </w:rPr>
              <w:t>К. Л. Мілютіна,</w:t>
              <w:br/>
              <w:t>І. А. Пінчук</w:t>
            </w:r>
          </w:p>
        </w:tc>
        <w:tc>
          <w:tcPr>
            <w:tcW w:type="dxa" w:w="2410"/>
          </w:tcPr>
          <w:p>
            <w:pPr>
              <w:jc w:val="left"/>
              <w:spacing w:line="360" w:lineRule="auto"/>
            </w:pPr>
            <w:r>
              <w:rPr>
                <w:rFonts w:ascii="Times New Roman" w:hAnsi="Times New Roman" w:eastAsia="Times New Roman"/>
                <w:b w:val="0"/>
                <w:i w:val="0"/>
                <w:sz w:val="24"/>
              </w:rPr>
              <w:t>Єдність емоційного і мовленнєвого розвитку; стабілізація психоемоційного стану</w:t>
            </w:r>
          </w:p>
        </w:tc>
        <w:tc>
          <w:tcPr>
            <w:tcW w:type="dxa" w:w="2410"/>
          </w:tcPr>
          <w:p>
            <w:pPr>
              <w:jc w:val="left"/>
              <w:spacing w:line="360" w:lineRule="auto"/>
            </w:pPr>
            <w:r>
              <w:rPr>
                <w:rFonts w:ascii="Times New Roman" w:hAnsi="Times New Roman" w:eastAsia="Times New Roman"/>
                <w:b w:val="0"/>
                <w:i w:val="0"/>
                <w:sz w:val="24"/>
              </w:rPr>
              <w:t>Арт-терапія; казкотерапія; ігрова терапія; тілесна психотерапія</w:t>
            </w:r>
          </w:p>
        </w:tc>
      </w:tr>
      <w:tr>
        <w:tc>
          <w:tcPr>
            <w:tcW w:type="dxa" w:w="2410"/>
          </w:tcPr>
          <w:p>
            <w:pPr>
              <w:jc w:val="left"/>
              <w:spacing w:line="360" w:lineRule="auto"/>
            </w:pPr>
            <w:r>
              <w:rPr>
                <w:rFonts w:ascii="Times New Roman" w:hAnsi="Times New Roman" w:eastAsia="Times New Roman"/>
                <w:b w:val="0"/>
                <w:i w:val="0"/>
                <w:sz w:val="24"/>
              </w:rPr>
              <w:t>Системно-</w:t>
              <w:br/>
              <w:t>превентивний</w:t>
            </w:r>
          </w:p>
        </w:tc>
        <w:tc>
          <w:tcPr>
            <w:tcW w:type="dxa" w:w="2410"/>
          </w:tcPr>
          <w:p>
            <w:pPr>
              <w:jc w:val="left"/>
              <w:spacing w:line="360" w:lineRule="auto"/>
            </w:pPr>
            <w:r>
              <w:rPr>
                <w:rFonts w:ascii="Times New Roman" w:hAnsi="Times New Roman" w:eastAsia="Times New Roman"/>
                <w:b w:val="0"/>
                <w:i w:val="0"/>
                <w:sz w:val="24"/>
              </w:rPr>
              <w:t>В. В. Тарасун,</w:t>
              <w:br/>
              <w:t>О. В. Мартинчук</w:t>
            </w:r>
          </w:p>
        </w:tc>
        <w:tc>
          <w:tcPr>
            <w:tcW w:type="dxa" w:w="2410"/>
          </w:tcPr>
          <w:p>
            <w:pPr>
              <w:jc w:val="left"/>
              <w:spacing w:line="360" w:lineRule="auto"/>
            </w:pPr>
            <w:r>
              <w:rPr>
                <w:rFonts w:ascii="Times New Roman" w:hAnsi="Times New Roman" w:eastAsia="Times New Roman"/>
                <w:b w:val="0"/>
                <w:i w:val="0"/>
                <w:sz w:val="24"/>
              </w:rPr>
              <w:t>Комплексність впливу; міждисциплінарна взаємодія; раннє виявлення ризиків</w:t>
            </w:r>
          </w:p>
        </w:tc>
        <w:tc>
          <w:tcPr>
            <w:tcW w:type="dxa" w:w="2410"/>
          </w:tcPr>
          <w:p>
            <w:pPr>
              <w:jc w:val="left"/>
              <w:spacing w:line="360" w:lineRule="auto"/>
            </w:pPr>
            <w:r>
              <w:rPr>
                <w:rFonts w:ascii="Times New Roman" w:hAnsi="Times New Roman" w:eastAsia="Times New Roman"/>
                <w:b w:val="0"/>
                <w:i w:val="0"/>
                <w:sz w:val="24"/>
              </w:rPr>
              <w:t>Скринінгова діагностика; ІПРП; командний супровід; батьківська освіта</w:t>
            </w:r>
          </w:p>
        </w:tc>
      </w:tr>
      <w:tr>
        <w:tc>
          <w:tcPr>
            <w:tcW w:type="dxa" w:w="2410"/>
          </w:tcPr>
          <w:p>
            <w:pPr>
              <w:jc w:val="left"/>
              <w:spacing w:line="360" w:lineRule="auto"/>
            </w:pPr>
            <w:r>
              <w:rPr>
                <w:rFonts w:ascii="Times New Roman" w:hAnsi="Times New Roman" w:eastAsia="Times New Roman"/>
                <w:b w:val="0"/>
                <w:i w:val="0"/>
                <w:sz w:val="24"/>
              </w:rPr>
              <w:t>Еколого-</w:t>
              <w:br/>
              <w:t>середовищний</w:t>
            </w:r>
          </w:p>
        </w:tc>
        <w:tc>
          <w:tcPr>
            <w:tcW w:type="dxa" w:w="2410"/>
          </w:tcPr>
          <w:p>
            <w:pPr>
              <w:jc w:val="left"/>
              <w:spacing w:line="360" w:lineRule="auto"/>
            </w:pPr>
            <w:r>
              <w:rPr>
                <w:rFonts w:ascii="Times New Roman" w:hAnsi="Times New Roman" w:eastAsia="Times New Roman"/>
                <w:b w:val="0"/>
                <w:i w:val="0"/>
                <w:sz w:val="24"/>
              </w:rPr>
              <w:t>Л. І. Прохоренко,</w:t>
              <w:br/>
              <w:t>Т. І. Поніманська</w:t>
            </w:r>
          </w:p>
        </w:tc>
        <w:tc>
          <w:tcPr>
            <w:tcW w:type="dxa" w:w="2410"/>
          </w:tcPr>
          <w:p>
            <w:pPr>
              <w:jc w:val="left"/>
              <w:spacing w:line="360" w:lineRule="auto"/>
            </w:pPr>
            <w:r>
              <w:rPr>
                <w:rFonts w:ascii="Times New Roman" w:hAnsi="Times New Roman" w:eastAsia="Times New Roman"/>
                <w:b w:val="0"/>
                <w:i w:val="0"/>
                <w:sz w:val="24"/>
              </w:rPr>
              <w:t>Середовище як чинник розвитку; адаптація простору до потреб дитини</w:t>
            </w:r>
          </w:p>
        </w:tc>
        <w:tc>
          <w:tcPr>
            <w:tcW w:type="dxa" w:w="2410"/>
          </w:tcPr>
          <w:p>
            <w:pPr>
              <w:jc w:val="left"/>
              <w:spacing w:line="360" w:lineRule="auto"/>
            </w:pPr>
            <w:r>
              <w:rPr>
                <w:rFonts w:ascii="Times New Roman" w:hAnsi="Times New Roman" w:eastAsia="Times New Roman"/>
                <w:b w:val="0"/>
                <w:i w:val="0"/>
                <w:sz w:val="24"/>
              </w:rPr>
              <w:t>Проектування розвивального середовища; сенсорні кімнати; логопедичні куточки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4; 10; 20; 26; 27; 32; 36; 44].</w:t>
      </w:r>
    </w:p>
    <w:p>
      <w:pPr>
        <w:ind w:firstLine="709"/>
        <w:jc w:val="both"/>
        <w:spacing w:line="360" w:lineRule="auto"/>
      </w:pPr>
      <w:r>
        <w:rPr>
          <w:rFonts w:ascii="Times New Roman" w:hAnsi="Times New Roman" w:eastAsia="Times New Roman"/>
          <w:b w:val="0"/>
          <w:i w:val="0"/>
          <w:sz w:val="28"/>
        </w:rPr>
        <w:t>Системно-превентивний підхід, розроблений у працях В. В. Тарасун та О. В. Мартинчук [33; 37], наголошує на необхідності комплексного міждисциплінарного супроводу дитини групи ризику з боку логопеда, психолога, дефектолога, педагога та батьків. Ключовим інструментом цього підходу є індивідуальна програма розвитку та підтримки (ІПРП), що розробляється командою спеціалістів на основі скринінгової діагностики і регулярно переглядається. В умовах воєнного стану цей підхід набуває особливої актуальності, оскільки значна частина дітей опинилась у ситуації комплексного ризику [37].</w:t>
      </w:r>
    </w:p>
    <w:p>
      <w:pPr>
        <w:ind w:firstLine="709"/>
        <w:jc w:val="both"/>
        <w:spacing w:line="360" w:lineRule="auto"/>
      </w:pPr>
      <w:r>
        <w:rPr>
          <w:rFonts w:ascii="Times New Roman" w:hAnsi="Times New Roman" w:eastAsia="Times New Roman"/>
          <w:b w:val="0"/>
          <w:i w:val="0"/>
          <w:sz w:val="28"/>
        </w:rPr>
        <w:t>Еколого-середовищний підхід Л. І. Прохоренко та Т. І. Поніманської акцентує на ролі фізичного та соціального середовища у формуванні мовленнєвої компетентності [28; 30]. Організація розвивального мовленнєвого середовища в ЗДО – логопедичних куточків, сенсорних кімнат, бібліотек, театральних куточків – є потужним інструментом превенції. Схема інтеграції наукових підходів у превентивній роботі з мовлення в умовах невизначеності подана на рис. 1.3.</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2"/>
              </w:rPr>
              <w:t>ІНТЕГРОВАНА СИСТЕМА ПРЕВЕНЦІЇ МОВЛЕННЄВИХ ТРУДНОЩІВ В УМОВАХ ЕКСТРЕМАЛЬНОЇ НЕВИЗНАЧЕНОСТІ</w:t>
            </w:r>
          </w:p>
        </w:tc>
      </w:tr>
      <w:tr>
        <w:tc>
          <w:tcPr>
            <w:tcW w:type="dxa" w:w="1928"/>
          </w:tcPr>
          <w:p>
            <w:pPr>
              <w:jc w:val="center"/>
              <w:spacing w:line="360" w:lineRule="auto"/>
            </w:pPr>
            <w:r>
              <w:rPr>
                <w:rFonts w:ascii="Times New Roman" w:hAnsi="Times New Roman" w:eastAsia="Times New Roman"/>
                <w:b w:val="0"/>
                <w:i w:val="0"/>
                <w:sz w:val="20"/>
              </w:rPr>
              <w:t>Нейропсихо-</w:t>
              <w:br/>
              <w:t>логічний</w:t>
              <w:br/>
              <w:t>підхід</w:t>
            </w:r>
          </w:p>
        </w:tc>
        <w:tc>
          <w:tcPr>
            <w:tcW w:type="dxa" w:w="1928"/>
          </w:tcPr>
          <w:p>
            <w:pPr>
              <w:jc w:val="center"/>
              <w:spacing w:line="360" w:lineRule="auto"/>
            </w:pPr>
            <w:r>
              <w:rPr>
                <w:rFonts w:ascii="Times New Roman" w:hAnsi="Times New Roman" w:eastAsia="Times New Roman"/>
                <w:b w:val="0"/>
                <w:i w:val="0"/>
                <w:sz w:val="20"/>
              </w:rPr>
              <w:t>Комунікативно-</w:t>
              <w:br/>
              <w:t>діяльнісний</w:t>
              <w:br/>
              <w:t>підхід</w:t>
            </w:r>
          </w:p>
        </w:tc>
        <w:tc>
          <w:tcPr>
            <w:tcW w:type="dxa" w:w="1928"/>
          </w:tcPr>
          <w:p>
            <w:pPr>
              <w:jc w:val="center"/>
              <w:spacing w:line="360" w:lineRule="auto"/>
            </w:pPr>
            <w:r>
              <w:rPr>
                <w:rFonts w:ascii="Times New Roman" w:hAnsi="Times New Roman" w:eastAsia="Times New Roman"/>
                <w:b w:val="0"/>
                <w:i w:val="0"/>
                <w:sz w:val="20"/>
              </w:rPr>
              <w:t>Психотерапев-</w:t>
              <w:br/>
              <w:t>тично-</w:t>
              <w:br/>
              <w:t>орієнтований</w:t>
            </w:r>
          </w:p>
        </w:tc>
        <w:tc>
          <w:tcPr>
            <w:tcW w:type="dxa" w:w="1928"/>
          </w:tcPr>
          <w:p>
            <w:pPr>
              <w:jc w:val="center"/>
              <w:spacing w:line="360" w:lineRule="auto"/>
            </w:pPr>
            <w:r>
              <w:rPr>
                <w:rFonts w:ascii="Times New Roman" w:hAnsi="Times New Roman" w:eastAsia="Times New Roman"/>
                <w:b w:val="0"/>
                <w:i w:val="0"/>
                <w:sz w:val="20"/>
              </w:rPr>
              <w:t>Системно-</w:t>
              <w:br/>
              <w:t>превентив-</w:t>
              <w:br/>
              <w:t>ний підхід</w:t>
            </w:r>
          </w:p>
        </w:tc>
        <w:tc>
          <w:tcPr>
            <w:tcW w:type="dxa" w:w="1928"/>
          </w:tcPr>
          <w:p>
            <w:pPr>
              <w:jc w:val="center"/>
              <w:spacing w:line="360" w:lineRule="auto"/>
            </w:pPr>
            <w:r>
              <w:rPr>
                <w:rFonts w:ascii="Times New Roman" w:hAnsi="Times New Roman" w:eastAsia="Times New Roman"/>
                <w:b w:val="0"/>
                <w:i w:val="0"/>
                <w:sz w:val="20"/>
              </w:rPr>
              <w:t>Еколого-</w:t>
              <w:br/>
              <w:t>середо-</w:t>
              <w:br/>
              <w:t>вищний</w:t>
            </w:r>
          </w:p>
        </w:tc>
      </w:tr>
      <w:tr>
        <w:tc>
          <w:tcPr>
            <w:tcW w:type="dxa" w:w="9640"/>
            <w:gridSpan w:val="5"/>
          </w:tcPr>
          <w:p>
            <w:pPr>
              <w:jc w:val="center"/>
              <w:spacing w:line="360" w:lineRule="auto"/>
            </w:pPr>
            <w:r>
              <w:rPr>
                <w:rFonts w:ascii="Times New Roman" w:hAnsi="Times New Roman" w:eastAsia="Times New Roman"/>
                <w:b/>
                <w:i w:val="0"/>
                <w:sz w:val="22"/>
              </w:rPr>
              <w:t>РЕЗУЛЬТАТ: попередження мовленнєвих порушень, збереження мовленнєвої компетентності дошкільника</w:t>
            </w:r>
          </w:p>
        </w:tc>
      </w:tr>
    </w:tbl>
    <w:p>
      <w:pPr>
        <w:ind w:firstLine="0"/>
        <w:jc w:val="center"/>
        <w:spacing w:line="360" w:lineRule="auto"/>
      </w:pPr>
      <w:r>
        <w:rPr>
          <w:rFonts w:ascii="Times New Roman" w:hAnsi="Times New Roman" w:eastAsia="Times New Roman"/>
          <w:b w:val="0"/>
          <w:i/>
          <w:sz w:val="28"/>
        </w:rPr>
        <w:t>Рис. 1.3 Інтеграція наукових підходів у системі превенції мовленнєвих труднощів у дітей в умовах екстремальної невизначеності</w:t>
      </w:r>
    </w:p>
    <w:p>
      <w:pPr>
        <w:ind w:firstLine="709"/>
        <w:jc w:val="both"/>
        <w:spacing w:line="360" w:lineRule="auto"/>
      </w:pPr>
      <w:r>
        <w:rPr>
          <w:rFonts w:ascii="Times New Roman" w:hAnsi="Times New Roman" w:eastAsia="Times New Roman"/>
          <w:b w:val="0"/>
          <w:i w:val="0"/>
          <w:sz w:val="28"/>
        </w:rPr>
        <w:t>Аналіз наукових підходів засвідчує, що жоден із них не є самодостатнім: ефективна превенція мовленнєвих порушень у старших дошкільників, котрі перебувають в умовах екстремальної невизначеності, вимагає інтеграції нейропсихологічного, комунікативно-діяльнісного, психотерапевтичного, системно-превентивного та еколого-середовищного підходів. Така інтеграція забезпечує вплив на всі рівні ризику – нейробіологічний, когнітивний, емоційний та соціально-комунікативний. Практична реалізація цього інтегрованого підходу в умовах конкретного закладу дошкільної освіти розкривається у другому розділі дослідження.</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p>
    <w:p>
      <w:pPr>
        <w:ind w:firstLine="0"/>
        <w:jc w:val="both"/>
        <w:spacing w:line="360" w:lineRule="auto"/>
      </w:pPr>
      <w:r>
        <w:rPr>
          <w:rFonts w:ascii="Times New Roman" w:hAnsi="Times New Roman" w:eastAsia="Times New Roman"/>
          <w:b/>
          <w:i w:val="0"/>
          <w:sz w:val="28"/>
        </w:rPr>
        <w:t>2.1. Моніторинг стану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Ефективна превентивна робота з дітьми в умовах екстремальної невизначеності неможлива без систематичного моніторингу їхнього мовленнєвого та загального психічного стану. Моніторинг у цьому контексті розуміється як регулярна, цілеспрямована система збору, аналізу та інтерпретації даних про розвиток дитини з метою своєчасного виявлення ризиків і коригування педагогічного впливу [7]. На відміну від одноразової діагностики, моніторинг передбачає динамічне спостереження у часі, що є особливо важливим в умовах нестабільного середовища, коли стан дитини може швидко змінюватися під впливом нових стрес-факторів.</w:t>
      </w:r>
    </w:p>
    <w:p>
      <w:pPr>
        <w:ind w:firstLine="709"/>
        <w:jc w:val="both"/>
        <w:spacing w:line="360" w:lineRule="auto"/>
      </w:pPr>
      <w:r>
        <w:rPr>
          <w:rFonts w:ascii="Times New Roman" w:hAnsi="Times New Roman" w:eastAsia="Times New Roman"/>
          <w:b w:val="0"/>
          <w:i w:val="0"/>
          <w:sz w:val="28"/>
        </w:rPr>
        <w:t>В умовах воєнного стану традиційні діагностичні процедури суттєво ускладнюються: частина дітей перебуває в евакуації або дистанційному режимі навчання, значна кількість пережила гостру психотравму і може відмовлятися від участі у стандартних обстеженнях, а самі педагоги нерідко не мають достатньої підготовки для проведення скринінгу в кризових умовах [13; 21]. Тому принципи кризового моніторингу мають відрізнятися від звичайних: пріоритет «м'якого» спостереження над формалізованим тестуванням, опора на природні ситуації спілкування, обов'язкове залучення батьків як джерела інформації та активних учасників спостереження [3].</w:t>
      </w:r>
    </w:p>
    <w:p>
      <w:pPr>
        <w:ind w:firstLine="709"/>
        <w:jc w:val="both"/>
        <w:spacing w:line="360" w:lineRule="auto"/>
      </w:pPr>
      <w:r>
        <w:rPr>
          <w:rFonts w:ascii="Times New Roman" w:hAnsi="Times New Roman" w:eastAsia="Times New Roman"/>
          <w:b w:val="0"/>
          <w:i w:val="0"/>
          <w:sz w:val="28"/>
        </w:rPr>
        <w:t>Мовленнєвий моніторинг у кризових умовах охоплює як власне мовленнєві, так і немовленнєві процеси, що слугують підґрунтям для мовленнєвої діяльності. До мовленнєвих параметрів належать: стан звуковимови, обсяг активного та пасивного словника, граматична правильність мовлення, рівень розвитку зв'язного мовлення, комунікативна ініціативність. Немовленнєві параметри включають: стан довільної уваги та пам'яті, рівень розвитку дрібної моторики, сформованість просторово-часових уявлень, емоційний стан та поведінкові реакції, характер взаємодії з однолітками та дорослими [7; 16; 38]. Зміст комплексного моніторингу мовленнєвих і немовленнєвих процесів систематизовано в таблиці 2.1.</w:t>
      </w:r>
    </w:p>
    <w:p>
      <w:pPr>
        <w:ind w:firstLine="0"/>
        <w:jc w:val="right"/>
        <w:spacing w:line="360" w:lineRule="auto"/>
      </w:pPr>
      <w:r>
        <w:rPr>
          <w:rFonts w:ascii="Times New Roman" w:hAnsi="Times New Roman" w:eastAsia="Times New Roman"/>
          <w:b w:val="0"/>
          <w:i w:val="0"/>
          <w:sz w:val="28"/>
        </w:rPr>
        <w:t>Таблиця 2.1</w:t>
      </w:r>
    </w:p>
    <w:p>
      <w:pPr>
        <w:ind w:firstLine="0"/>
        <w:jc w:val="center"/>
        <w:spacing w:line="360" w:lineRule="auto"/>
      </w:pPr>
      <w:r>
        <w:rPr>
          <w:rFonts w:ascii="Times New Roman" w:hAnsi="Times New Roman" w:eastAsia="Times New Roman"/>
          <w:b/>
          <w:i w:val="0"/>
          <w:sz w:val="28"/>
        </w:rPr>
        <w:t>Параметри комплексного моніторингу мовленнєвого розвитку дітей старшого дошкільного віку в кризових умовах</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w:t>
            </w:r>
          </w:p>
        </w:tc>
        <w:tc>
          <w:tcPr>
            <w:tcW w:type="dxa" w:w="2410"/>
          </w:tcPr>
          <w:p>
            <w:pPr>
              <w:jc w:val="center"/>
              <w:spacing w:line="360" w:lineRule="auto"/>
            </w:pPr>
            <w:r>
              <w:rPr>
                <w:rFonts w:ascii="Times New Roman" w:hAnsi="Times New Roman" w:eastAsia="Times New Roman"/>
                <w:b/>
                <w:i w:val="0"/>
                <w:sz w:val="24"/>
              </w:rPr>
              <w:t>Параметр</w:t>
            </w:r>
          </w:p>
        </w:tc>
        <w:tc>
          <w:tcPr>
            <w:tcW w:type="dxa" w:w="2410"/>
          </w:tcPr>
          <w:p>
            <w:pPr>
              <w:jc w:val="center"/>
              <w:spacing w:line="360" w:lineRule="auto"/>
            </w:pPr>
            <w:r>
              <w:rPr>
                <w:rFonts w:ascii="Times New Roman" w:hAnsi="Times New Roman" w:eastAsia="Times New Roman"/>
                <w:b/>
                <w:i w:val="0"/>
                <w:sz w:val="24"/>
              </w:rPr>
              <w:t>Метод виявлення</w:t>
            </w:r>
          </w:p>
        </w:tc>
        <w:tc>
          <w:tcPr>
            <w:tcW w:type="dxa" w:w="2410"/>
          </w:tcPr>
          <w:p>
            <w:pPr>
              <w:jc w:val="center"/>
              <w:spacing w:line="360" w:lineRule="auto"/>
            </w:pPr>
            <w:r>
              <w:rPr>
                <w:rFonts w:ascii="Times New Roman" w:hAnsi="Times New Roman" w:eastAsia="Times New Roman"/>
                <w:b/>
                <w:i w:val="0"/>
                <w:sz w:val="24"/>
              </w:rPr>
              <w:t>Сигнали ризику</w:t>
            </w:r>
          </w:p>
        </w:tc>
      </w:tr>
      <w:tr>
        <w:tc>
          <w:tcPr>
            <w:tcW w:type="dxa" w:w="2410"/>
          </w:tcPr>
          <w:p>
            <w:pPr>
              <w:jc w:val="left"/>
              <w:spacing w:line="360" w:lineRule="auto"/>
            </w:pPr>
            <w:r>
              <w:rPr>
                <w:rFonts w:ascii="Times New Roman" w:hAnsi="Times New Roman" w:eastAsia="Times New Roman"/>
                <w:b w:val="0"/>
                <w:i w:val="0"/>
                <w:sz w:val="24"/>
              </w:rPr>
              <w:t>Фонетико-</w:t>
              <w:br/>
              <w:t>фонематичний</w:t>
            </w:r>
          </w:p>
        </w:tc>
        <w:tc>
          <w:tcPr>
            <w:tcW w:type="dxa" w:w="2410"/>
          </w:tcPr>
          <w:p>
            <w:pPr>
              <w:jc w:val="left"/>
              <w:spacing w:line="360" w:lineRule="auto"/>
            </w:pPr>
            <w:r>
              <w:rPr>
                <w:rFonts w:ascii="Times New Roman" w:hAnsi="Times New Roman" w:eastAsia="Times New Roman"/>
                <w:b w:val="0"/>
                <w:i w:val="0"/>
                <w:sz w:val="24"/>
              </w:rPr>
              <w:t>Звуковимова; фонематичний слух</w:t>
            </w:r>
          </w:p>
        </w:tc>
        <w:tc>
          <w:tcPr>
            <w:tcW w:type="dxa" w:w="2410"/>
          </w:tcPr>
          <w:p>
            <w:pPr>
              <w:jc w:val="left"/>
              <w:spacing w:line="360" w:lineRule="auto"/>
            </w:pPr>
            <w:r>
              <w:rPr>
                <w:rFonts w:ascii="Times New Roman" w:hAnsi="Times New Roman" w:eastAsia="Times New Roman"/>
                <w:b w:val="0"/>
                <w:i w:val="0"/>
                <w:sz w:val="24"/>
              </w:rPr>
              <w:t>Спостереження у грі; логопедичний скринінг</w:t>
            </w:r>
          </w:p>
        </w:tc>
        <w:tc>
          <w:tcPr>
            <w:tcW w:type="dxa" w:w="2410"/>
          </w:tcPr>
          <w:p>
            <w:pPr>
              <w:jc w:val="left"/>
              <w:spacing w:line="360" w:lineRule="auto"/>
            </w:pPr>
            <w:r>
              <w:rPr>
                <w:rFonts w:ascii="Times New Roman" w:hAnsi="Times New Roman" w:eastAsia="Times New Roman"/>
                <w:b w:val="0"/>
                <w:i w:val="0"/>
                <w:sz w:val="24"/>
              </w:rPr>
              <w:t>Регресія звуків; нові замінення; темпо-ритмічні порушення</w:t>
            </w:r>
          </w:p>
        </w:tc>
      </w:tr>
      <w:tr>
        <w:tc>
          <w:tcPr>
            <w:tcW w:type="dxa" w:w="2410"/>
          </w:tcPr>
          <w:p>
            <w:pPr>
              <w:jc w:val="left"/>
              <w:spacing w:line="360" w:lineRule="auto"/>
            </w:pPr>
            <w:r>
              <w:rPr>
                <w:rFonts w:ascii="Times New Roman" w:hAnsi="Times New Roman" w:eastAsia="Times New Roman"/>
                <w:b w:val="0"/>
                <w:i w:val="0"/>
                <w:sz w:val="24"/>
              </w:rPr>
              <w:t>Лексичний</w:t>
            </w:r>
          </w:p>
        </w:tc>
        <w:tc>
          <w:tcPr>
            <w:tcW w:type="dxa" w:w="2410"/>
          </w:tcPr>
          <w:p>
            <w:pPr>
              <w:jc w:val="left"/>
              <w:spacing w:line="360" w:lineRule="auto"/>
            </w:pPr>
            <w:r>
              <w:rPr>
                <w:rFonts w:ascii="Times New Roman" w:hAnsi="Times New Roman" w:eastAsia="Times New Roman"/>
                <w:b w:val="0"/>
                <w:i w:val="0"/>
                <w:sz w:val="24"/>
              </w:rPr>
              <w:t>Активний/пасивний словник; семантична точність</w:t>
            </w:r>
          </w:p>
        </w:tc>
        <w:tc>
          <w:tcPr>
            <w:tcW w:type="dxa" w:w="2410"/>
          </w:tcPr>
          <w:p>
            <w:pPr>
              <w:jc w:val="left"/>
              <w:spacing w:line="360" w:lineRule="auto"/>
            </w:pPr>
            <w:r>
              <w:rPr>
                <w:rFonts w:ascii="Times New Roman" w:hAnsi="Times New Roman" w:eastAsia="Times New Roman"/>
                <w:b w:val="0"/>
                <w:i w:val="0"/>
                <w:sz w:val="24"/>
              </w:rPr>
              <w:t>Бесіда; «Назви картинку»; вільна гра</w:t>
            </w:r>
          </w:p>
        </w:tc>
        <w:tc>
          <w:tcPr>
            <w:tcW w:type="dxa" w:w="2410"/>
          </w:tcPr>
          <w:p>
            <w:pPr>
              <w:jc w:val="left"/>
              <w:spacing w:line="360" w:lineRule="auto"/>
            </w:pPr>
            <w:r>
              <w:rPr>
                <w:rFonts w:ascii="Times New Roman" w:hAnsi="Times New Roman" w:eastAsia="Times New Roman"/>
                <w:b w:val="0"/>
                <w:i w:val="0"/>
                <w:sz w:val="24"/>
              </w:rPr>
              <w:t>Збіднення активного словника; труднощі пошуку слова</w:t>
            </w:r>
          </w:p>
        </w:tc>
      </w:tr>
      <w:tr>
        <w:tc>
          <w:tcPr>
            <w:tcW w:type="dxa" w:w="2410"/>
          </w:tcPr>
          <w:p>
            <w:pPr>
              <w:jc w:val="left"/>
              <w:spacing w:line="360" w:lineRule="auto"/>
            </w:pPr>
            <w:r>
              <w:rPr>
                <w:rFonts w:ascii="Times New Roman" w:hAnsi="Times New Roman" w:eastAsia="Times New Roman"/>
                <w:b w:val="0"/>
                <w:i w:val="0"/>
                <w:sz w:val="24"/>
              </w:rPr>
              <w:t>Граматичний</w:t>
            </w:r>
          </w:p>
        </w:tc>
        <w:tc>
          <w:tcPr>
            <w:tcW w:type="dxa" w:w="2410"/>
          </w:tcPr>
          <w:p>
            <w:pPr>
              <w:jc w:val="left"/>
              <w:spacing w:line="360" w:lineRule="auto"/>
            </w:pPr>
            <w:r>
              <w:rPr>
                <w:rFonts w:ascii="Times New Roman" w:hAnsi="Times New Roman" w:eastAsia="Times New Roman"/>
                <w:b w:val="0"/>
                <w:i w:val="0"/>
                <w:sz w:val="24"/>
              </w:rPr>
              <w:t>Узгодження; словозміна; словотворення</w:t>
            </w:r>
          </w:p>
        </w:tc>
        <w:tc>
          <w:tcPr>
            <w:tcW w:type="dxa" w:w="2410"/>
          </w:tcPr>
          <w:p>
            <w:pPr>
              <w:jc w:val="left"/>
              <w:spacing w:line="360" w:lineRule="auto"/>
            </w:pPr>
            <w:r>
              <w:rPr>
                <w:rFonts w:ascii="Times New Roman" w:hAnsi="Times New Roman" w:eastAsia="Times New Roman"/>
                <w:b w:val="0"/>
                <w:i w:val="0"/>
                <w:sz w:val="24"/>
              </w:rPr>
              <w:t>Провокуючі запитання; незавершені речення</w:t>
            </w:r>
          </w:p>
        </w:tc>
        <w:tc>
          <w:tcPr>
            <w:tcW w:type="dxa" w:w="2410"/>
          </w:tcPr>
          <w:p>
            <w:pPr>
              <w:jc w:val="left"/>
              <w:spacing w:line="360" w:lineRule="auto"/>
            </w:pPr>
            <w:r>
              <w:rPr>
                <w:rFonts w:ascii="Times New Roman" w:hAnsi="Times New Roman" w:eastAsia="Times New Roman"/>
                <w:b w:val="0"/>
                <w:i w:val="0"/>
                <w:sz w:val="24"/>
              </w:rPr>
              <w:t>Нові аграматизми; спрощення конструкцій</w:t>
            </w:r>
          </w:p>
        </w:tc>
      </w:tr>
      <w:tr>
        <w:tc>
          <w:tcPr>
            <w:tcW w:type="dxa" w:w="2410"/>
          </w:tcPr>
          <w:p>
            <w:pPr>
              <w:jc w:val="left"/>
              <w:spacing w:line="360" w:lineRule="auto"/>
            </w:pPr>
            <w:r>
              <w:rPr>
                <w:rFonts w:ascii="Times New Roman" w:hAnsi="Times New Roman" w:eastAsia="Times New Roman"/>
                <w:b w:val="0"/>
                <w:i w:val="0"/>
                <w:sz w:val="24"/>
              </w:rPr>
              <w:t>Зв'язне мовлення</w:t>
            </w:r>
          </w:p>
        </w:tc>
        <w:tc>
          <w:tcPr>
            <w:tcW w:type="dxa" w:w="2410"/>
          </w:tcPr>
          <w:p>
            <w:pPr>
              <w:jc w:val="left"/>
              <w:spacing w:line="360" w:lineRule="auto"/>
            </w:pPr>
            <w:r>
              <w:rPr>
                <w:rFonts w:ascii="Times New Roman" w:hAnsi="Times New Roman" w:eastAsia="Times New Roman"/>
                <w:b w:val="0"/>
                <w:i w:val="0"/>
                <w:sz w:val="24"/>
              </w:rPr>
              <w:t>Переказ; розповідь; опис</w:t>
            </w:r>
          </w:p>
        </w:tc>
        <w:tc>
          <w:tcPr>
            <w:tcW w:type="dxa" w:w="2410"/>
          </w:tcPr>
          <w:p>
            <w:pPr>
              <w:jc w:val="left"/>
              <w:spacing w:line="360" w:lineRule="auto"/>
            </w:pPr>
            <w:r>
              <w:rPr>
                <w:rFonts w:ascii="Times New Roman" w:hAnsi="Times New Roman" w:eastAsia="Times New Roman"/>
                <w:b w:val="0"/>
                <w:i w:val="0"/>
                <w:sz w:val="24"/>
              </w:rPr>
              <w:t>Переказ короткого тексту; розповідь за картиною</w:t>
            </w:r>
          </w:p>
        </w:tc>
        <w:tc>
          <w:tcPr>
            <w:tcW w:type="dxa" w:w="2410"/>
          </w:tcPr>
          <w:p>
            <w:pPr>
              <w:jc w:val="left"/>
              <w:spacing w:line="360" w:lineRule="auto"/>
            </w:pPr>
            <w:r>
              <w:rPr>
                <w:rFonts w:ascii="Times New Roman" w:hAnsi="Times New Roman" w:eastAsia="Times New Roman"/>
                <w:b w:val="0"/>
                <w:i w:val="0"/>
                <w:sz w:val="24"/>
              </w:rPr>
              <w:t>Відмова від монологу; втрата зв'язності; ехолалія</w:t>
            </w:r>
          </w:p>
        </w:tc>
      </w:tr>
      <w:tr>
        <w:tc>
          <w:tcPr>
            <w:tcW w:type="dxa" w:w="2410"/>
          </w:tcPr>
          <w:p>
            <w:pPr>
              <w:jc w:val="left"/>
              <w:spacing w:line="360" w:lineRule="auto"/>
            </w:pPr>
            <w:r>
              <w:rPr>
                <w:rFonts w:ascii="Times New Roman" w:hAnsi="Times New Roman" w:eastAsia="Times New Roman"/>
                <w:b w:val="0"/>
                <w:i w:val="0"/>
                <w:sz w:val="24"/>
              </w:rPr>
              <w:t>Комунікативний</w:t>
            </w:r>
          </w:p>
        </w:tc>
        <w:tc>
          <w:tcPr>
            <w:tcW w:type="dxa" w:w="2410"/>
          </w:tcPr>
          <w:p>
            <w:pPr>
              <w:jc w:val="left"/>
              <w:spacing w:line="360" w:lineRule="auto"/>
            </w:pPr>
            <w:r>
              <w:rPr>
                <w:rFonts w:ascii="Times New Roman" w:hAnsi="Times New Roman" w:eastAsia="Times New Roman"/>
                <w:b w:val="0"/>
                <w:i w:val="0"/>
                <w:sz w:val="24"/>
              </w:rPr>
              <w:t>Ініціативність; діалог; мовленнєвий етикет</w:t>
            </w:r>
          </w:p>
        </w:tc>
        <w:tc>
          <w:tcPr>
            <w:tcW w:type="dxa" w:w="2410"/>
          </w:tcPr>
          <w:p>
            <w:pPr>
              <w:jc w:val="left"/>
              <w:spacing w:line="360" w:lineRule="auto"/>
            </w:pPr>
            <w:r>
              <w:rPr>
                <w:rFonts w:ascii="Times New Roman" w:hAnsi="Times New Roman" w:eastAsia="Times New Roman"/>
                <w:b w:val="0"/>
                <w:i w:val="0"/>
                <w:sz w:val="24"/>
              </w:rPr>
              <w:t>Структуроване спостереження; ситуативна гра</w:t>
            </w:r>
          </w:p>
        </w:tc>
        <w:tc>
          <w:tcPr>
            <w:tcW w:type="dxa" w:w="2410"/>
          </w:tcPr>
          <w:p>
            <w:pPr>
              <w:jc w:val="left"/>
              <w:spacing w:line="360" w:lineRule="auto"/>
            </w:pPr>
            <w:r>
              <w:rPr>
                <w:rFonts w:ascii="Times New Roman" w:hAnsi="Times New Roman" w:eastAsia="Times New Roman"/>
                <w:b w:val="0"/>
                <w:i w:val="0"/>
                <w:sz w:val="24"/>
              </w:rPr>
              <w:t>Уникнення спілкування; мутизм; регресія до жестів</w:t>
            </w:r>
          </w:p>
        </w:tc>
      </w:tr>
      <w:tr>
        <w:tc>
          <w:tcPr>
            <w:tcW w:type="dxa" w:w="2410"/>
          </w:tcPr>
          <w:p>
            <w:pPr>
              <w:jc w:val="left"/>
              <w:spacing w:line="360" w:lineRule="auto"/>
            </w:pPr>
            <w:r>
              <w:rPr>
                <w:rFonts w:ascii="Times New Roman" w:hAnsi="Times New Roman" w:eastAsia="Times New Roman"/>
                <w:b w:val="0"/>
                <w:i w:val="0"/>
                <w:sz w:val="24"/>
              </w:rPr>
              <w:t>Немовленнєвий</w:t>
              <w:br/>
              <w:t>(когнітивний)</w:t>
            </w:r>
          </w:p>
        </w:tc>
        <w:tc>
          <w:tcPr>
            <w:tcW w:type="dxa" w:w="2410"/>
          </w:tcPr>
          <w:p>
            <w:pPr>
              <w:jc w:val="left"/>
              <w:spacing w:line="360" w:lineRule="auto"/>
            </w:pPr>
            <w:r>
              <w:rPr>
                <w:rFonts w:ascii="Times New Roman" w:hAnsi="Times New Roman" w:eastAsia="Times New Roman"/>
                <w:b w:val="0"/>
                <w:i w:val="0"/>
                <w:sz w:val="24"/>
              </w:rPr>
              <w:t>Увага; пам'ять; мислення; моторика</w:t>
            </w:r>
          </w:p>
        </w:tc>
        <w:tc>
          <w:tcPr>
            <w:tcW w:type="dxa" w:w="2410"/>
          </w:tcPr>
          <w:p>
            <w:pPr>
              <w:jc w:val="left"/>
              <w:spacing w:line="360" w:lineRule="auto"/>
            </w:pPr>
            <w:r>
              <w:rPr>
                <w:rFonts w:ascii="Times New Roman" w:hAnsi="Times New Roman" w:eastAsia="Times New Roman"/>
                <w:b w:val="0"/>
                <w:i w:val="0"/>
                <w:sz w:val="24"/>
              </w:rPr>
              <w:t>Ігрові завдання; малювання; спостереження</w:t>
            </w:r>
          </w:p>
        </w:tc>
        <w:tc>
          <w:tcPr>
            <w:tcW w:type="dxa" w:w="2410"/>
          </w:tcPr>
          <w:p>
            <w:pPr>
              <w:jc w:val="left"/>
              <w:spacing w:line="360" w:lineRule="auto"/>
            </w:pPr>
            <w:r>
              <w:rPr>
                <w:rFonts w:ascii="Times New Roman" w:hAnsi="Times New Roman" w:eastAsia="Times New Roman"/>
                <w:b w:val="0"/>
                <w:i w:val="0"/>
                <w:sz w:val="24"/>
              </w:rPr>
              <w:t>Різке зниження концентрації; флешбеки; тремор</w:t>
            </w:r>
          </w:p>
        </w:tc>
      </w:tr>
      <w:tr>
        <w:tc>
          <w:tcPr>
            <w:tcW w:type="dxa" w:w="2410"/>
          </w:tcPr>
          <w:p>
            <w:pPr>
              <w:jc w:val="left"/>
              <w:spacing w:line="360" w:lineRule="auto"/>
            </w:pPr>
            <w:r>
              <w:rPr>
                <w:rFonts w:ascii="Times New Roman" w:hAnsi="Times New Roman" w:eastAsia="Times New Roman"/>
                <w:b w:val="0"/>
                <w:i w:val="0"/>
                <w:sz w:val="24"/>
              </w:rPr>
              <w:t>Немовленнєвий</w:t>
              <w:br/>
              <w:t>(емоційний)</w:t>
            </w:r>
          </w:p>
        </w:tc>
        <w:tc>
          <w:tcPr>
            <w:tcW w:type="dxa" w:w="2410"/>
          </w:tcPr>
          <w:p>
            <w:pPr>
              <w:jc w:val="left"/>
              <w:spacing w:line="360" w:lineRule="auto"/>
            </w:pPr>
            <w:r>
              <w:rPr>
                <w:rFonts w:ascii="Times New Roman" w:hAnsi="Times New Roman" w:eastAsia="Times New Roman"/>
                <w:b w:val="0"/>
                <w:i w:val="0"/>
                <w:sz w:val="24"/>
              </w:rPr>
              <w:t>Тривожність; поведінкові реакції; самооцінка</w:t>
            </w:r>
          </w:p>
        </w:tc>
        <w:tc>
          <w:tcPr>
            <w:tcW w:type="dxa" w:w="2410"/>
          </w:tcPr>
          <w:p>
            <w:pPr>
              <w:jc w:val="left"/>
              <w:spacing w:line="360" w:lineRule="auto"/>
            </w:pPr>
            <w:r>
              <w:rPr>
                <w:rFonts w:ascii="Times New Roman" w:hAnsi="Times New Roman" w:eastAsia="Times New Roman"/>
                <w:b w:val="0"/>
                <w:i w:val="0"/>
                <w:sz w:val="24"/>
              </w:rPr>
              <w:t>Анкета для батьків; проективні малюнки</w:t>
            </w:r>
          </w:p>
        </w:tc>
        <w:tc>
          <w:tcPr>
            <w:tcW w:type="dxa" w:w="2410"/>
          </w:tcPr>
          <w:p>
            <w:pPr>
              <w:jc w:val="left"/>
              <w:spacing w:line="360" w:lineRule="auto"/>
            </w:pPr>
            <w:r>
              <w:rPr>
                <w:rFonts w:ascii="Times New Roman" w:hAnsi="Times New Roman" w:eastAsia="Times New Roman"/>
                <w:b w:val="0"/>
                <w:i w:val="0"/>
                <w:sz w:val="24"/>
              </w:rPr>
              <w:t>Агресія; заторможеність; регресія поведінки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[3; 7; 16; 21; 38].</w:t>
      </w:r>
    </w:p>
    <w:p>
      <w:pPr>
        <w:ind w:firstLine="709"/>
        <w:jc w:val="both"/>
        <w:spacing w:line="360" w:lineRule="auto"/>
      </w:pPr>
      <w:r>
        <w:rPr>
          <w:rFonts w:ascii="Times New Roman" w:hAnsi="Times New Roman" w:eastAsia="Times New Roman"/>
          <w:b w:val="0"/>
          <w:i w:val="0"/>
          <w:sz w:val="28"/>
        </w:rPr>
        <w:t>Організація моніторингу в кризових умовах передбачає декілька принципових змін порівняно зі стандартною процедурою. По-перше, слід відмовитися від ситуацій формального тестування на користь «екологічно валідних» спостережень у природному середовищі дитини – під час ранкового прийому, самостійної гри, занять, прогулянки. По-друге, доцільно застосовувати «портфоліо розвитку» – систематичне фіксування досягнень і труднощів дитини у вигляді коротких записів, аудіофрагментів мовлення та зразків малюнків. По-третє, необхідно регулярно проводити консультаційні бесіди з батьками, оскільки вони є основним джерелом інформації про стан дитини поза межами ЗДО, особливо в умовах дистанційного навчання або вимушеного переміщення [7; 25].</w:t>
      </w:r>
    </w:p>
    <w:p>
      <w:pPr>
        <w:ind w:firstLine="709"/>
        <w:jc w:val="both"/>
        <w:spacing w:line="360" w:lineRule="auto"/>
      </w:pPr>
      <w:r>
        <w:rPr>
          <w:rFonts w:ascii="Times New Roman" w:hAnsi="Times New Roman" w:eastAsia="Times New Roman"/>
          <w:b w:val="0"/>
          <w:i w:val="0"/>
          <w:sz w:val="28"/>
        </w:rPr>
        <w:t>Ю. В. Рібцун пропонує дворівневу модель логопедичного скринінгу: масовий скринінг (проводиться педагогом групи) та поглиблена діагностика (проводиться логопедом для дітей, що потрапили до групи ризику за результатами скринінгу) [28]. В умовах кризи доцільно скоротити інтервали між скринінговими процедурами до одного разу на місяць, а для дітей із вже наявними факторами ризику – проводити неформальні спостереження щотижня. Структуру організації моніторингу в кризових умовах відображено на рис. 2.1.</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СИСТЕМА МОНІТОРИНГУ МОВЛЕННЄВОГО РОЗВИТКУ В КРИЗОВИХ УМОВАХ</w:t>
            </w:r>
          </w:p>
        </w:tc>
      </w:tr>
      <w:tr>
        <w:tc>
          <w:tcPr>
            <w:tcW w:type="dxa" w:w="3213"/>
          </w:tcPr>
          <w:p>
            <w:pPr>
              <w:jc w:val="center"/>
              <w:spacing w:line="360" w:lineRule="auto"/>
            </w:pPr>
            <w:r>
              <w:rPr>
                <w:rFonts w:ascii="Times New Roman" w:hAnsi="Times New Roman" w:eastAsia="Times New Roman"/>
                <w:b w:val="0"/>
                <w:i w:val="0"/>
                <w:sz w:val="22"/>
              </w:rPr>
              <w:t>І рівень</w:t>
              <w:br/>
              <w:t>Масовий скринінг</w:t>
              <w:br/>
              <w:t>(педагог групи,</w:t>
              <w:br/>
              <w:t>1 раз/місяць)</w:t>
            </w:r>
          </w:p>
        </w:tc>
        <w:tc>
          <w:tcPr>
            <w:tcW w:type="dxa" w:w="3213"/>
          </w:tcPr>
          <w:p>
            <w:pPr>
              <w:jc w:val="center"/>
              <w:spacing w:line="360" w:lineRule="auto"/>
            </w:pPr>
            <w:r>
              <w:rPr>
                <w:rFonts w:ascii="Times New Roman" w:hAnsi="Times New Roman" w:eastAsia="Times New Roman"/>
                <w:b w:val="0"/>
                <w:i w:val="0"/>
                <w:sz w:val="22"/>
              </w:rPr>
              <w:t>ІІ рівень</w:t>
              <w:br/>
              <w:t>Поглиблена діагностика</w:t>
              <w:br/>
              <w:t>(логопед,</w:t>
              <w:br/>
              <w:t>група ризику)</w:t>
            </w:r>
          </w:p>
        </w:tc>
        <w:tc>
          <w:tcPr>
            <w:tcW w:type="dxa" w:w="3213"/>
          </w:tcPr>
          <w:p>
            <w:pPr>
              <w:jc w:val="center"/>
              <w:spacing w:line="360" w:lineRule="auto"/>
            </w:pPr>
            <w:r>
              <w:rPr>
                <w:rFonts w:ascii="Times New Roman" w:hAnsi="Times New Roman" w:eastAsia="Times New Roman"/>
                <w:b w:val="0"/>
                <w:i w:val="0"/>
                <w:sz w:val="22"/>
              </w:rPr>
              <w:t>ІІІ рівень</w:t>
              <w:br/>
              <w:t>Командний супровід</w:t>
              <w:br/>
              <w:t>(логопед + психолог</w:t>
              <w:br/>
              <w:t>+ батьки)</w:t>
            </w:r>
          </w:p>
        </w:tc>
      </w:tr>
      <w:tr>
        <w:tc>
          <w:tcPr>
            <w:tcW w:type="dxa" w:w="9639"/>
            <w:gridSpan w:val="3"/>
          </w:tcPr>
          <w:p>
            <w:pPr>
              <w:jc w:val="center"/>
              <w:spacing w:line="360" w:lineRule="auto"/>
            </w:pPr>
            <w:r>
              <w:rPr>
                <w:rFonts w:ascii="Times New Roman" w:hAnsi="Times New Roman" w:eastAsia="Times New Roman"/>
                <w:b w:val="0"/>
                <w:i w:val="0"/>
                <w:sz w:val="22"/>
              </w:rPr>
              <w:t>Інструменти: спостереження у грі · портфоліо розвитку · анкетування батьків · аудіозразки мовлення</w:t>
            </w:r>
          </w:p>
        </w:tc>
      </w:tr>
      <w:tr>
        <w:tc>
          <w:tcPr>
            <w:tcW w:type="dxa" w:w="9639"/>
            <w:gridSpan w:val="3"/>
          </w:tcPr>
          <w:p>
            <w:pPr>
              <w:jc w:val="center"/>
              <w:spacing w:line="360" w:lineRule="auto"/>
            </w:pPr>
            <w:r>
              <w:rPr>
                <w:rFonts w:ascii="Times New Roman" w:hAnsi="Times New Roman" w:eastAsia="Times New Roman"/>
                <w:b/>
                <w:i w:val="0"/>
                <w:sz w:val="22"/>
              </w:rPr>
              <w:t>РЕЗУЛЬТАТ: своєчасне виявлення ризиків → індивідуалізація превентивної програми</w:t>
            </w:r>
          </w:p>
        </w:tc>
      </w:tr>
    </w:tbl>
    <w:p>
      <w:pPr>
        <w:ind w:firstLine="0"/>
        <w:jc w:val="center"/>
        <w:spacing w:line="360" w:lineRule="auto"/>
      </w:pPr>
      <w:r>
        <w:rPr>
          <w:rFonts w:ascii="Times New Roman" w:hAnsi="Times New Roman" w:eastAsia="Times New Roman"/>
          <w:b w:val="0"/>
          <w:i/>
          <w:sz w:val="28"/>
        </w:rPr>
        <w:t>Рис. 2.1 Рівнева організація моніторингу мовленнєвого розвитку дошкільників у кризових умовах</w:t>
      </w:r>
    </w:p>
    <w:p>
      <w:pPr>
        <w:ind w:firstLine="709"/>
        <w:jc w:val="both"/>
        <w:spacing w:line="360" w:lineRule="auto"/>
      </w:pPr>
      <w:r>
        <w:rPr>
          <w:rFonts w:ascii="Times New Roman" w:hAnsi="Times New Roman" w:eastAsia="Times New Roman"/>
          <w:b w:val="0"/>
          <w:i w:val="0"/>
          <w:sz w:val="28"/>
        </w:rPr>
        <w:t>Таким чином, комплексний моніторинг мовленнєвих і немовленнєвих процесів у дітей старшого дошкільного віку в кризових умовах є необхідною передумовою ефективної превентивної роботи. Він дозволяє своєчасно ідентифікувати дітей групи ризику, відслідковувати динаміку їхнього стану та гнучко коригувати зміст і форми педагогічного втручання. Отримані в ході моніторингу дані є підставою для розробки індивідуалізованих превентивних програм, методичний інструментарій яких розглядається у наступному підрозділі.</w:t>
      </w:r>
    </w:p>
    <w:p>
      <w:pPr>
        <w:ind w:firstLine="0"/>
        <w:jc w:val="both"/>
        <w:spacing w:line="360" w:lineRule="auto"/>
      </w:pPr>
      <w:r>
        <w:rPr>
          <w:rFonts w:ascii="Times New Roman" w:hAnsi="Times New Roman" w:eastAsia="Times New Roman"/>
          <w:b/>
          <w:i w:val="0"/>
          <w:sz w:val="28"/>
        </w:rPr>
        <w:t>2.2. Система ігрових та арт-терапевтичних методів запобігання мовленнєвим труднощам</w:t>
      </w:r>
    </w:p>
    <w:p>
      <w:pPr>
        <w:ind w:firstLine="709"/>
        <w:jc w:val="both"/>
        <w:spacing w:line="360" w:lineRule="auto"/>
      </w:pPr>
      <w:r>
        <w:rPr>
          <w:rFonts w:ascii="Times New Roman" w:hAnsi="Times New Roman" w:eastAsia="Times New Roman"/>
          <w:b w:val="0"/>
          <w:i w:val="0"/>
          <w:sz w:val="28"/>
        </w:rPr>
        <w:t>Провідна роль гри у розвитку та превенції мовленнєвих порушень у дітей дошкільного віку є аксіомою вітчизняної педагогіки та психології. Л. С. Виготський розглядав гру як «провідну діяльність» дошкільника, в якій виникає зона найближчого розвитку та найінтенсивніше формуються всі психічні функції, зокрема мовлення [2]. В умовах екстремальної невизначеності ігрова та арт-терапевтична діяльність набуває подвійної функції: по-перше, вона слугує безпечним простором для переробки травматичного досвіду і стабілізації емоційного стану; по-друге, є природним середовищем для розвитку і підтримки мовленнєвої компетентності [10; 36].</w:t>
      </w:r>
    </w:p>
    <w:p>
      <w:pPr>
        <w:ind w:firstLine="709"/>
        <w:jc w:val="both"/>
        <w:spacing w:line="360" w:lineRule="auto"/>
      </w:pPr>
      <w:r>
        <w:rPr>
          <w:rFonts w:ascii="Times New Roman" w:hAnsi="Times New Roman" w:eastAsia="Times New Roman"/>
          <w:b w:val="0"/>
          <w:i w:val="0"/>
          <w:sz w:val="28"/>
        </w:rPr>
        <w:t>Ігрові методи превенції мовленнєвих труднощів можна розподілити на кілька груп відповідно до мовленнєвого компонента, на розвиток якого вони спрямовані. Для підтримки фонетико-фонематичної складової застосовуються фонетичні ігри («Впіймай звук», «Луна», «Телефон»), ритмічні ігри з долоньками та артикуляційна гімнастика в ігровій формі. Лексичний розвиток забезпечується дидактичними іграми на класифікацію, узагальнення та синонімічні заміни («Четвертий зайвий», «Скажи по-іншому», «Асоціативний ланцюжок»). Граматична складова формується через ігри зі словотвором («Маленький – великий», «Чий хвіст?») та вправи з деформованими реченнями [8; 26].</w:t>
      </w:r>
    </w:p>
    <w:p>
      <w:pPr>
        <w:ind w:firstLine="709"/>
        <w:jc w:val="both"/>
        <w:spacing w:line="360" w:lineRule="auto"/>
      </w:pPr>
      <w:r>
        <w:rPr>
          <w:rFonts w:ascii="Times New Roman" w:hAnsi="Times New Roman" w:eastAsia="Times New Roman"/>
          <w:b w:val="0"/>
          <w:i w:val="0"/>
          <w:sz w:val="28"/>
        </w:rPr>
        <w:t>Арт-терапевтичні методи у логопедичній практиці становлять особливу цінність у роботі з дітьми, котрі пережили психотравматичні події, адже дозволяють обминути вербальний опір і встановити контакт через невербальні канали. О. В. Мартинчук та К. Л. Мілютіна виокремлюють такі різновиди арт-терапії, що мають доведений превентивний вплив на мовленнєвий розвиток дошкільника: казкотерапія, музикотерапія, ізотерапія, пісочна терапія та ляльковий театр [20; 33]. Казкотерапія забезпечує розвиток зв'язного мовлення через розповідання і ретелінг казок, складання власних історій, що особливо важливо, оскільки нарративна функція мовлення у стресових умовах страждає першою [15].</w:t>
      </w:r>
    </w:p>
    <w:p>
      <w:pPr>
        <w:ind w:firstLine="709"/>
        <w:jc w:val="both"/>
        <w:spacing w:line="360" w:lineRule="auto"/>
      </w:pPr>
      <w:r>
        <w:rPr>
          <w:rFonts w:ascii="Times New Roman" w:hAnsi="Times New Roman" w:eastAsia="Times New Roman"/>
          <w:b w:val="0"/>
          <w:i w:val="0"/>
          <w:sz w:val="28"/>
        </w:rPr>
        <w:t>Систему ігрових та арт-терапевтичних методів запобігання мовленнєвим труднощам залежно від мети і компоненту мовлення представлено в таблиці 2.2.</w:t>
      </w:r>
    </w:p>
    <w:p>
      <w:pPr>
        <w:ind w:firstLine="0"/>
        <w:jc w:val="right"/>
        <w:spacing w:line="360" w:lineRule="auto"/>
      </w:pPr>
      <w:r>
        <w:rPr>
          <w:rFonts w:ascii="Times New Roman" w:hAnsi="Times New Roman" w:eastAsia="Times New Roman"/>
          <w:b w:val="0"/>
          <w:i w:val="0"/>
          <w:sz w:val="28"/>
        </w:rPr>
        <w:t>Таблиця 2.2</w:t>
      </w:r>
    </w:p>
    <w:p>
      <w:pPr>
        <w:ind w:firstLine="0"/>
        <w:jc w:val="center"/>
        <w:spacing w:line="360" w:lineRule="auto"/>
      </w:pPr>
      <w:r>
        <w:rPr>
          <w:rFonts w:ascii="Times New Roman" w:hAnsi="Times New Roman" w:eastAsia="Times New Roman"/>
          <w:b/>
          <w:i w:val="0"/>
          <w:sz w:val="28"/>
        </w:rPr>
        <w:t>Система ігрових та арт-терапевтичних методів превенції мовленнєвих труднощів у старших дошкільників</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Напрям роботи</w:t>
            </w:r>
          </w:p>
        </w:tc>
        <w:tc>
          <w:tcPr>
            <w:tcW w:type="dxa" w:w="2410"/>
          </w:tcPr>
          <w:p>
            <w:pPr>
              <w:jc w:val="center"/>
              <w:spacing w:line="360" w:lineRule="auto"/>
            </w:pPr>
            <w:r>
              <w:rPr>
                <w:rFonts w:ascii="Times New Roman" w:hAnsi="Times New Roman" w:eastAsia="Times New Roman"/>
                <w:b/>
                <w:i w:val="0"/>
                <w:sz w:val="24"/>
              </w:rPr>
              <w:t>Методи та форми</w:t>
            </w:r>
          </w:p>
        </w:tc>
        <w:tc>
          <w:tcPr>
            <w:tcW w:type="dxa" w:w="2410"/>
          </w:tcPr>
          <w:p>
            <w:pPr>
              <w:jc w:val="center"/>
              <w:spacing w:line="360" w:lineRule="auto"/>
            </w:pPr>
            <w:r>
              <w:rPr>
                <w:rFonts w:ascii="Times New Roman" w:hAnsi="Times New Roman" w:eastAsia="Times New Roman"/>
                <w:b/>
                <w:i w:val="0"/>
                <w:sz w:val="24"/>
              </w:rPr>
              <w:t>Приклади вправ / ігор</w:t>
            </w:r>
          </w:p>
        </w:tc>
        <w:tc>
          <w:tcPr>
            <w:tcW w:type="dxa" w:w="2410"/>
          </w:tcPr>
          <w:p>
            <w:pPr>
              <w:jc w:val="center"/>
              <w:spacing w:line="360" w:lineRule="auto"/>
            </w:pPr>
            <w:r>
              <w:rPr>
                <w:rFonts w:ascii="Times New Roman" w:hAnsi="Times New Roman" w:eastAsia="Times New Roman"/>
                <w:b/>
                <w:i w:val="0"/>
                <w:sz w:val="24"/>
              </w:rPr>
              <w:t>Мовленнєвий ефект</w:t>
            </w:r>
          </w:p>
        </w:tc>
      </w:tr>
      <w:tr>
        <w:tc>
          <w:tcPr>
            <w:tcW w:type="dxa" w:w="2410"/>
          </w:tcPr>
          <w:p>
            <w:pPr>
              <w:jc w:val="left"/>
              <w:spacing w:line="360" w:lineRule="auto"/>
            </w:pPr>
            <w:r>
              <w:rPr>
                <w:rFonts w:ascii="Times New Roman" w:hAnsi="Times New Roman" w:eastAsia="Times New Roman"/>
                <w:b w:val="0"/>
                <w:i w:val="0"/>
                <w:sz w:val="24"/>
              </w:rPr>
              <w:t>Фонетико-фонематична</w:t>
              <w:br/>
              <w:t>превенція</w:t>
            </w:r>
          </w:p>
        </w:tc>
        <w:tc>
          <w:tcPr>
            <w:tcW w:type="dxa" w:w="2410"/>
          </w:tcPr>
          <w:p>
            <w:pPr>
              <w:jc w:val="left"/>
              <w:spacing w:line="360" w:lineRule="auto"/>
            </w:pPr>
            <w:r>
              <w:rPr>
                <w:rFonts w:ascii="Times New Roman" w:hAnsi="Times New Roman" w:eastAsia="Times New Roman"/>
                <w:b w:val="0"/>
                <w:i w:val="0"/>
                <w:sz w:val="24"/>
              </w:rPr>
              <w:t>Ритмічні та звукові ігри; артикуляційна гімнастика</w:t>
            </w:r>
          </w:p>
        </w:tc>
        <w:tc>
          <w:tcPr>
            <w:tcW w:type="dxa" w:w="2410"/>
          </w:tcPr>
          <w:p>
            <w:pPr>
              <w:jc w:val="left"/>
              <w:spacing w:line="360" w:lineRule="auto"/>
            </w:pPr>
            <w:r>
              <w:rPr>
                <w:rFonts w:ascii="Times New Roman" w:hAnsi="Times New Roman" w:eastAsia="Times New Roman"/>
                <w:b w:val="0"/>
                <w:i w:val="0"/>
                <w:sz w:val="24"/>
              </w:rPr>
              <w:t>«Луна», «Впіймай звук», «Повтори ритм», «Казкова гімнастика язичка»</w:t>
            </w:r>
          </w:p>
        </w:tc>
        <w:tc>
          <w:tcPr>
            <w:tcW w:type="dxa" w:w="2410"/>
          </w:tcPr>
          <w:p>
            <w:pPr>
              <w:jc w:val="left"/>
              <w:spacing w:line="360" w:lineRule="auto"/>
            </w:pPr>
            <w:r>
              <w:rPr>
                <w:rFonts w:ascii="Times New Roman" w:hAnsi="Times New Roman" w:eastAsia="Times New Roman"/>
                <w:b w:val="0"/>
                <w:i w:val="0"/>
                <w:sz w:val="24"/>
              </w:rPr>
              <w:t>Збереження чіткості звуковимови; розвиток фонематичного слуху</w:t>
            </w:r>
          </w:p>
        </w:tc>
      </w:tr>
      <w:tr>
        <w:tc>
          <w:tcPr>
            <w:tcW w:type="dxa" w:w="2410"/>
          </w:tcPr>
          <w:p>
            <w:pPr>
              <w:jc w:val="left"/>
              <w:spacing w:line="360" w:lineRule="auto"/>
            </w:pPr>
            <w:r>
              <w:rPr>
                <w:rFonts w:ascii="Times New Roman" w:hAnsi="Times New Roman" w:eastAsia="Times New Roman"/>
                <w:b w:val="0"/>
                <w:i w:val="0"/>
                <w:sz w:val="24"/>
              </w:rPr>
              <w:t>Лексична превенція</w:t>
            </w:r>
          </w:p>
        </w:tc>
        <w:tc>
          <w:tcPr>
            <w:tcW w:type="dxa" w:w="2410"/>
          </w:tcPr>
          <w:p>
            <w:pPr>
              <w:jc w:val="left"/>
              <w:spacing w:line="360" w:lineRule="auto"/>
            </w:pPr>
            <w:r>
              <w:rPr>
                <w:rFonts w:ascii="Times New Roman" w:hAnsi="Times New Roman" w:eastAsia="Times New Roman"/>
                <w:b w:val="0"/>
                <w:i w:val="0"/>
                <w:sz w:val="24"/>
              </w:rPr>
              <w:t>Дидактичні ігри; асоціативні вправи; словесні ланцюжки</w:t>
            </w:r>
          </w:p>
        </w:tc>
        <w:tc>
          <w:tcPr>
            <w:tcW w:type="dxa" w:w="2410"/>
          </w:tcPr>
          <w:p>
            <w:pPr>
              <w:jc w:val="left"/>
              <w:spacing w:line="360" w:lineRule="auto"/>
            </w:pPr>
            <w:r>
              <w:rPr>
                <w:rFonts w:ascii="Times New Roman" w:hAnsi="Times New Roman" w:eastAsia="Times New Roman"/>
                <w:b w:val="0"/>
                <w:i w:val="0"/>
                <w:sz w:val="24"/>
              </w:rPr>
              <w:t>«Четвертий зайвий», «Асоціації», «Скажи навпаки», «Що з чого?»</w:t>
            </w:r>
          </w:p>
        </w:tc>
        <w:tc>
          <w:tcPr>
            <w:tcW w:type="dxa" w:w="2410"/>
          </w:tcPr>
          <w:p>
            <w:pPr>
              <w:jc w:val="left"/>
              <w:spacing w:line="360" w:lineRule="auto"/>
            </w:pPr>
            <w:r>
              <w:rPr>
                <w:rFonts w:ascii="Times New Roman" w:hAnsi="Times New Roman" w:eastAsia="Times New Roman"/>
                <w:b w:val="0"/>
                <w:i w:val="0"/>
                <w:sz w:val="24"/>
              </w:rPr>
              <w:t>Збагачення активного словника; семантична точність</w:t>
            </w:r>
          </w:p>
        </w:tc>
      </w:tr>
      <w:tr>
        <w:tc>
          <w:tcPr>
            <w:tcW w:type="dxa" w:w="2410"/>
          </w:tcPr>
          <w:p>
            <w:pPr>
              <w:jc w:val="left"/>
              <w:spacing w:line="360" w:lineRule="auto"/>
            </w:pPr>
            <w:r>
              <w:rPr>
                <w:rFonts w:ascii="Times New Roman" w:hAnsi="Times New Roman" w:eastAsia="Times New Roman"/>
                <w:b w:val="0"/>
                <w:i w:val="0"/>
                <w:sz w:val="24"/>
              </w:rPr>
              <w:t>Граматична превенція</w:t>
            </w:r>
          </w:p>
        </w:tc>
        <w:tc>
          <w:tcPr>
            <w:tcW w:type="dxa" w:w="2410"/>
          </w:tcPr>
          <w:p>
            <w:pPr>
              <w:jc w:val="left"/>
              <w:spacing w:line="360" w:lineRule="auto"/>
            </w:pPr>
            <w:r>
              <w:rPr>
                <w:rFonts w:ascii="Times New Roman" w:hAnsi="Times New Roman" w:eastAsia="Times New Roman"/>
                <w:b w:val="0"/>
                <w:i w:val="0"/>
                <w:sz w:val="24"/>
              </w:rPr>
              <w:t>Ігри зі словотвором; робота з деформованими реченнями</w:t>
            </w:r>
          </w:p>
        </w:tc>
        <w:tc>
          <w:tcPr>
            <w:tcW w:type="dxa" w:w="2410"/>
          </w:tcPr>
          <w:p>
            <w:pPr>
              <w:jc w:val="left"/>
              <w:spacing w:line="360" w:lineRule="auto"/>
            </w:pPr>
            <w:r>
              <w:rPr>
                <w:rFonts w:ascii="Times New Roman" w:hAnsi="Times New Roman" w:eastAsia="Times New Roman"/>
                <w:b w:val="0"/>
                <w:i w:val="0"/>
                <w:sz w:val="24"/>
              </w:rPr>
              <w:t>«Маленький – великий», «Чий?», «Скажи правильно», «Плутанина»</w:t>
            </w:r>
          </w:p>
        </w:tc>
        <w:tc>
          <w:tcPr>
            <w:tcW w:type="dxa" w:w="2410"/>
          </w:tcPr>
          <w:p>
            <w:pPr>
              <w:jc w:val="left"/>
              <w:spacing w:line="360" w:lineRule="auto"/>
            </w:pPr>
            <w:r>
              <w:rPr>
                <w:rFonts w:ascii="Times New Roman" w:hAnsi="Times New Roman" w:eastAsia="Times New Roman"/>
                <w:b w:val="0"/>
                <w:i w:val="0"/>
                <w:sz w:val="24"/>
              </w:rPr>
              <w:t>Збереження граматичної правильності; усунення аграматизмів</w:t>
            </w:r>
          </w:p>
        </w:tc>
      </w:tr>
      <w:tr>
        <w:tc>
          <w:tcPr>
            <w:tcW w:type="dxa" w:w="2410"/>
          </w:tcPr>
          <w:p>
            <w:pPr>
              <w:jc w:val="left"/>
              <w:spacing w:line="360" w:lineRule="auto"/>
            </w:pPr>
            <w:r>
              <w:rPr>
                <w:rFonts w:ascii="Times New Roman" w:hAnsi="Times New Roman" w:eastAsia="Times New Roman"/>
                <w:b w:val="0"/>
                <w:i w:val="0"/>
                <w:sz w:val="24"/>
              </w:rPr>
              <w:t>Розвиток зв'язного</w:t>
              <w:br/>
              <w:t>мовлення</w:t>
            </w:r>
          </w:p>
        </w:tc>
        <w:tc>
          <w:tcPr>
            <w:tcW w:type="dxa" w:w="2410"/>
          </w:tcPr>
          <w:p>
            <w:pPr>
              <w:jc w:val="left"/>
              <w:spacing w:line="360" w:lineRule="auto"/>
            </w:pPr>
            <w:r>
              <w:rPr>
                <w:rFonts w:ascii="Times New Roman" w:hAnsi="Times New Roman" w:eastAsia="Times New Roman"/>
                <w:b w:val="0"/>
                <w:i w:val="0"/>
                <w:sz w:val="24"/>
              </w:rPr>
              <w:t>Казкотерапія; розповідь за серією картин; складання історій</w:t>
            </w:r>
          </w:p>
        </w:tc>
        <w:tc>
          <w:tcPr>
            <w:tcW w:type="dxa" w:w="2410"/>
          </w:tcPr>
          <w:p>
            <w:pPr>
              <w:jc w:val="left"/>
              <w:spacing w:line="360" w:lineRule="auto"/>
            </w:pPr>
            <w:r>
              <w:rPr>
                <w:rFonts w:ascii="Times New Roman" w:hAnsi="Times New Roman" w:eastAsia="Times New Roman"/>
                <w:b w:val="0"/>
                <w:i w:val="0"/>
                <w:sz w:val="24"/>
              </w:rPr>
              <w:t>«Продовж казку», «Картинна галерея», «Наша книга», ретелінг</w:t>
            </w:r>
          </w:p>
        </w:tc>
        <w:tc>
          <w:tcPr>
            <w:tcW w:type="dxa" w:w="2410"/>
          </w:tcPr>
          <w:p>
            <w:pPr>
              <w:jc w:val="left"/>
              <w:spacing w:line="360" w:lineRule="auto"/>
            </w:pPr>
            <w:r>
              <w:rPr>
                <w:rFonts w:ascii="Times New Roman" w:hAnsi="Times New Roman" w:eastAsia="Times New Roman"/>
                <w:b w:val="0"/>
                <w:i w:val="0"/>
                <w:sz w:val="24"/>
              </w:rPr>
              <w:t>Підтримка нарративних навичок; структурованість висловлювань</w:t>
            </w:r>
          </w:p>
        </w:tc>
      </w:tr>
      <w:tr>
        <w:tc>
          <w:tcPr>
            <w:tcW w:type="dxa" w:w="2410"/>
          </w:tcPr>
          <w:p>
            <w:pPr>
              <w:jc w:val="left"/>
              <w:spacing w:line="360" w:lineRule="auto"/>
            </w:pPr>
            <w:r>
              <w:rPr>
                <w:rFonts w:ascii="Times New Roman" w:hAnsi="Times New Roman" w:eastAsia="Times New Roman"/>
                <w:b w:val="0"/>
                <w:i w:val="0"/>
                <w:sz w:val="24"/>
              </w:rPr>
              <w:t>Емоційна стабілізація</w:t>
              <w:br/>
              <w:t>(база мовлення)</w:t>
            </w:r>
          </w:p>
        </w:tc>
        <w:tc>
          <w:tcPr>
            <w:tcW w:type="dxa" w:w="2410"/>
          </w:tcPr>
          <w:p>
            <w:pPr>
              <w:jc w:val="left"/>
              <w:spacing w:line="360" w:lineRule="auto"/>
            </w:pPr>
            <w:r>
              <w:rPr>
                <w:rFonts w:ascii="Times New Roman" w:hAnsi="Times New Roman" w:eastAsia="Times New Roman"/>
                <w:b w:val="0"/>
                <w:i w:val="0"/>
                <w:sz w:val="24"/>
              </w:rPr>
              <w:t>Ізотерапія; пісочна терапія; музикотерапія</w:t>
            </w:r>
          </w:p>
        </w:tc>
        <w:tc>
          <w:tcPr>
            <w:tcW w:type="dxa" w:w="2410"/>
          </w:tcPr>
          <w:p>
            <w:pPr>
              <w:jc w:val="left"/>
              <w:spacing w:line="360" w:lineRule="auto"/>
            </w:pPr>
            <w:r>
              <w:rPr>
                <w:rFonts w:ascii="Times New Roman" w:hAnsi="Times New Roman" w:eastAsia="Times New Roman"/>
                <w:b w:val="0"/>
                <w:i w:val="0"/>
                <w:sz w:val="24"/>
              </w:rPr>
              <w:t>Малювання «безпечного місця», пісочні мандали, ритмічне пісенне коло</w:t>
            </w:r>
          </w:p>
        </w:tc>
        <w:tc>
          <w:tcPr>
            <w:tcW w:type="dxa" w:w="2410"/>
          </w:tcPr>
          <w:p>
            <w:pPr>
              <w:jc w:val="left"/>
              <w:spacing w:line="360" w:lineRule="auto"/>
            </w:pPr>
            <w:r>
              <w:rPr>
                <w:rFonts w:ascii="Times New Roman" w:hAnsi="Times New Roman" w:eastAsia="Times New Roman"/>
                <w:b w:val="0"/>
                <w:i w:val="0"/>
                <w:sz w:val="24"/>
              </w:rPr>
              <w:t>Зниження тривожності; відновлення комунікативної ініціативи</w:t>
            </w:r>
          </w:p>
        </w:tc>
      </w:tr>
      <w:tr>
        <w:tc>
          <w:tcPr>
            <w:tcW w:type="dxa" w:w="2410"/>
          </w:tcPr>
          <w:p>
            <w:pPr>
              <w:jc w:val="left"/>
              <w:spacing w:line="360" w:lineRule="auto"/>
            </w:pPr>
            <w:r>
              <w:rPr>
                <w:rFonts w:ascii="Times New Roman" w:hAnsi="Times New Roman" w:eastAsia="Times New Roman"/>
                <w:b w:val="0"/>
                <w:i w:val="0"/>
                <w:sz w:val="24"/>
              </w:rPr>
              <w:t>Комунікативна</w:t>
              <w:br/>
              <w:t>превенція</w:t>
            </w:r>
          </w:p>
        </w:tc>
        <w:tc>
          <w:tcPr>
            <w:tcW w:type="dxa" w:w="2410"/>
          </w:tcPr>
          <w:p>
            <w:pPr>
              <w:jc w:val="left"/>
              <w:spacing w:line="360" w:lineRule="auto"/>
            </w:pPr>
            <w:r>
              <w:rPr>
                <w:rFonts w:ascii="Times New Roman" w:hAnsi="Times New Roman" w:eastAsia="Times New Roman"/>
                <w:b w:val="0"/>
                <w:i w:val="0"/>
                <w:sz w:val="24"/>
              </w:rPr>
              <w:t>Ляльковий театр; рольові ігри; парні й групові взаємодії</w:t>
            </w:r>
          </w:p>
        </w:tc>
        <w:tc>
          <w:tcPr>
            <w:tcW w:type="dxa" w:w="2410"/>
          </w:tcPr>
          <w:p>
            <w:pPr>
              <w:jc w:val="left"/>
              <w:spacing w:line="360" w:lineRule="auto"/>
            </w:pPr>
            <w:r>
              <w:rPr>
                <w:rFonts w:ascii="Times New Roman" w:hAnsi="Times New Roman" w:eastAsia="Times New Roman"/>
                <w:b w:val="0"/>
                <w:i w:val="0"/>
                <w:sz w:val="24"/>
              </w:rPr>
              <w:t>«Пальчиковий театр», «Ляльки-рукавички», сюжетно-рольова гра</w:t>
            </w:r>
          </w:p>
        </w:tc>
        <w:tc>
          <w:tcPr>
            <w:tcW w:type="dxa" w:w="2410"/>
          </w:tcPr>
          <w:p>
            <w:pPr>
              <w:jc w:val="left"/>
              <w:spacing w:line="360" w:lineRule="auto"/>
            </w:pPr>
            <w:r>
              <w:rPr>
                <w:rFonts w:ascii="Times New Roman" w:hAnsi="Times New Roman" w:eastAsia="Times New Roman"/>
                <w:b w:val="0"/>
                <w:i w:val="0"/>
                <w:sz w:val="24"/>
              </w:rPr>
              <w:t>Збереження діалогічного мовлення; мовленнєвий етикет</w:t>
            </w:r>
          </w:p>
        </w:tc>
      </w:tr>
    </w:tbl>
    <w:p>
      <w:pPr>
        <w:ind w:firstLine="0"/>
        <w:jc w:val="both"/>
        <w:spacing w:line="360" w:lineRule="auto"/>
      </w:pPr>
      <w:r>
        <w:rPr>
          <w:rFonts w:ascii="Times New Roman" w:hAnsi="Times New Roman" w:eastAsia="Times New Roman"/>
          <w:b w:val="0"/>
          <w:i/>
          <w:sz w:val="28"/>
        </w:rPr>
        <w:t>Джерело: складено автором на основі [2; 8; 10; 15; 20; 26; 33; 36].</w:t>
      </w:r>
    </w:p>
    <w:p>
      <w:pPr>
        <w:ind w:firstLine="709"/>
        <w:jc w:val="both"/>
        <w:spacing w:line="360" w:lineRule="auto"/>
      </w:pPr>
      <w:r>
        <w:rPr>
          <w:rFonts w:ascii="Times New Roman" w:hAnsi="Times New Roman" w:eastAsia="Times New Roman"/>
          <w:b w:val="0"/>
          <w:i w:val="0"/>
          <w:sz w:val="28"/>
        </w:rPr>
        <w:t>Особливе місце у системі превентивних методів посідає пісочна терапія. Г. О. Сіліна та Л. І. Прохоренко зазначають, що робота з піском, маючи виражений сенсорно-інтегративний ефект, одночасно знижує рівень тривоги і стимулює дрібну моторику – безпосередню базу мовленнєвого розвитку [34]. Логопедичні заняття у пісочниці («пісочна логопедія») дозволяють закріплювати звуки, лексичні теми та граматичні структури у контексті, що є природним і безпечним для дитини в стані стресу.</w:t>
      </w:r>
    </w:p>
    <w:p>
      <w:pPr>
        <w:ind w:firstLine="709"/>
        <w:jc w:val="both"/>
        <w:spacing w:line="360" w:lineRule="auto"/>
      </w:pPr>
      <w:r>
        <w:rPr>
          <w:rFonts w:ascii="Times New Roman" w:hAnsi="Times New Roman" w:eastAsia="Times New Roman"/>
          <w:b w:val="0"/>
          <w:i w:val="0"/>
          <w:sz w:val="28"/>
        </w:rPr>
        <w:t>Музикотерапія та ритмічні вправи в логопедичній роботі спираються на доведений нейропсихологічний зв'язок між ритмом, рухом і мовленням. А. В. Семенович та Т. Б. Філічева підкреслюють, що ритмічна стимуляція через музику та рух активує ті ж самі ділянки мозку, що й мовленнєва діяльність, і тому може компенсувати дефіцити, що виникають внаслідок стресового впливу [32; 39]. Щоденне «пісенне коло» з використанням народних пісень, лічилок і речитативів забезпечує одночасно фонетичну, ритмічну та комунікативну стимуляцію.</w:t>
      </w:r>
    </w:p>
    <w:p>
      <w:pPr>
        <w:ind w:firstLine="709"/>
        <w:jc w:val="both"/>
        <w:spacing w:line="360" w:lineRule="auto"/>
      </w:pPr>
      <w:r>
        <w:rPr>
          <w:rFonts w:ascii="Times New Roman" w:hAnsi="Times New Roman" w:eastAsia="Times New Roman"/>
          <w:b w:val="0"/>
          <w:i w:val="0"/>
          <w:sz w:val="28"/>
        </w:rPr>
        <w:t>Взаємозв'язок ігрових та арт-терапевтичних методів у системі превентивної роботи та їх вплив на компоненти мовленнєвої компетентності відображено на рис. 2.2.</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9636"/>
            <w:gridSpan w:val="6"/>
          </w:tcPr>
          <w:p>
            <w:pPr>
              <w:jc w:val="center"/>
              <w:spacing w:line="360" w:lineRule="auto"/>
            </w:pPr>
            <w:r>
              <w:rPr>
                <w:rFonts w:ascii="Times New Roman" w:hAnsi="Times New Roman" w:eastAsia="Times New Roman"/>
                <w:b/>
                <w:i w:val="0"/>
                <w:sz w:val="22"/>
              </w:rPr>
              <w:t>ІГРОВІ ТА АРТ-ТЕРАПЕВТИЧНІ МЕТОДИ ПРЕВЕНЦІЇ МОВЛЕННЄВИХ ТРУДНОЩІВ</w:t>
            </w:r>
          </w:p>
        </w:tc>
      </w:tr>
      <w:tr>
        <w:tc>
          <w:tcPr>
            <w:tcW w:type="dxa" w:w="1606"/>
          </w:tcPr>
          <w:p>
            <w:pPr>
              <w:jc w:val="center"/>
              <w:spacing w:line="360" w:lineRule="auto"/>
            </w:pPr>
            <w:r>
              <w:rPr>
                <w:rFonts w:ascii="Times New Roman" w:hAnsi="Times New Roman" w:eastAsia="Times New Roman"/>
                <w:b w:val="0"/>
                <w:i w:val="0"/>
                <w:sz w:val="20"/>
              </w:rPr>
              <w:t>Фонетичні</w:t>
              <w:br/>
              <w:t>ігри</w:t>
            </w:r>
          </w:p>
        </w:tc>
        <w:tc>
          <w:tcPr>
            <w:tcW w:type="dxa" w:w="1606"/>
          </w:tcPr>
          <w:p>
            <w:pPr>
              <w:jc w:val="center"/>
              <w:spacing w:line="360" w:lineRule="auto"/>
            </w:pPr>
            <w:r>
              <w:rPr>
                <w:rFonts w:ascii="Times New Roman" w:hAnsi="Times New Roman" w:eastAsia="Times New Roman"/>
                <w:b w:val="0"/>
                <w:i w:val="0"/>
                <w:sz w:val="20"/>
              </w:rPr>
              <w:t>Лексико-</w:t>
              <w:br/>
              <w:t>граматичні</w:t>
              <w:br/>
              <w:t>ігри</w:t>
            </w:r>
          </w:p>
        </w:tc>
        <w:tc>
          <w:tcPr>
            <w:tcW w:type="dxa" w:w="1606"/>
          </w:tcPr>
          <w:p>
            <w:pPr>
              <w:jc w:val="center"/>
              <w:spacing w:line="360" w:lineRule="auto"/>
            </w:pPr>
            <w:r>
              <w:rPr>
                <w:rFonts w:ascii="Times New Roman" w:hAnsi="Times New Roman" w:eastAsia="Times New Roman"/>
                <w:b w:val="0"/>
                <w:i w:val="0"/>
                <w:sz w:val="20"/>
              </w:rPr>
              <w:t>Казко-</w:t>
              <w:br/>
              <w:t>терапія</w:t>
            </w:r>
          </w:p>
        </w:tc>
        <w:tc>
          <w:tcPr>
            <w:tcW w:type="dxa" w:w="1606"/>
          </w:tcPr>
          <w:p>
            <w:pPr>
              <w:jc w:val="center"/>
              <w:spacing w:line="360" w:lineRule="auto"/>
            </w:pPr>
            <w:r>
              <w:rPr>
                <w:rFonts w:ascii="Times New Roman" w:hAnsi="Times New Roman" w:eastAsia="Times New Roman"/>
                <w:b w:val="0"/>
                <w:i w:val="0"/>
                <w:sz w:val="20"/>
              </w:rPr>
              <w:t>Ізотерапія</w:t>
              <w:br/>
              <w:t>/ пісок</w:t>
            </w:r>
          </w:p>
        </w:tc>
        <w:tc>
          <w:tcPr>
            <w:tcW w:type="dxa" w:w="1606"/>
          </w:tcPr>
          <w:p>
            <w:pPr>
              <w:jc w:val="center"/>
              <w:spacing w:line="360" w:lineRule="auto"/>
            </w:pPr>
            <w:r>
              <w:rPr>
                <w:rFonts w:ascii="Times New Roman" w:hAnsi="Times New Roman" w:eastAsia="Times New Roman"/>
                <w:b w:val="0"/>
                <w:i w:val="0"/>
                <w:sz w:val="20"/>
              </w:rPr>
              <w:t>Музико-</w:t>
              <w:br/>
              <w:t>терапія</w:t>
            </w:r>
          </w:p>
        </w:tc>
        <w:tc>
          <w:tcPr>
            <w:tcW w:type="dxa" w:w="1606"/>
          </w:tcPr>
          <w:p>
            <w:pPr>
              <w:jc w:val="center"/>
              <w:spacing w:line="360" w:lineRule="auto"/>
            </w:pPr>
            <w:r>
              <w:rPr>
                <w:rFonts w:ascii="Times New Roman" w:hAnsi="Times New Roman" w:eastAsia="Times New Roman"/>
                <w:b w:val="0"/>
                <w:i w:val="0"/>
                <w:sz w:val="20"/>
              </w:rPr>
              <w:t>Ляльковий</w:t>
              <w:br/>
              <w:t>театр</w:t>
            </w:r>
          </w:p>
        </w:tc>
      </w:tr>
      <w:tr>
        <w:tc>
          <w:tcPr>
            <w:tcW w:type="dxa" w:w="9636"/>
            <w:gridSpan w:val="6"/>
          </w:tcPr>
          <w:p>
            <w:pPr>
              <w:jc w:val="center"/>
              <w:spacing w:line="360" w:lineRule="auto"/>
            </w:pPr>
            <w:r>
              <w:rPr>
                <w:rFonts w:ascii="Times New Roman" w:hAnsi="Times New Roman" w:eastAsia="Times New Roman"/>
                <w:b/>
                <w:i w:val="0"/>
                <w:sz w:val="22"/>
              </w:rPr>
              <w:t>ЗБЕРЕЖЕННЯ МОВЛЕННЄВОЇ КОМПЕТЕНТНОСТІ: фонетика · лексика · граматика · зв'язне мовлення · комунікація</w:t>
            </w:r>
          </w:p>
        </w:tc>
      </w:tr>
    </w:tbl>
    <w:p>
      <w:pPr>
        <w:ind w:firstLine="0"/>
        <w:jc w:val="center"/>
        <w:spacing w:line="360" w:lineRule="auto"/>
      </w:pPr>
      <w:r>
        <w:rPr>
          <w:rFonts w:ascii="Times New Roman" w:hAnsi="Times New Roman" w:eastAsia="Times New Roman"/>
          <w:b w:val="0"/>
          <w:i/>
          <w:sz w:val="28"/>
        </w:rPr>
        <w:t>Рис. 2.2 Система ігрових та арт-терапевтичних методів превенції мовленнєвих труднощів у старших дошкільників</w:t>
      </w:r>
    </w:p>
    <w:p>
      <w:pPr>
        <w:ind w:firstLine="709"/>
        <w:jc w:val="both"/>
        <w:spacing w:line="360" w:lineRule="auto"/>
      </w:pPr>
      <w:r>
        <w:rPr>
          <w:rFonts w:ascii="Times New Roman" w:hAnsi="Times New Roman" w:eastAsia="Times New Roman"/>
          <w:b w:val="0"/>
          <w:i w:val="0"/>
          <w:sz w:val="28"/>
        </w:rPr>
        <w:t>Отже, система ігрових та арт-терапевтичних методів є комплексним інструментом превенції мовленнєвих труднощів у старших дошкільників в умовах екстремальної невизначеності. Її ефективність визначається: природовідповідністю (відповідністю провідній діяльності дошкільника), поліфункціональністю (одночасним впливом на мовленнєву та емоційну сфери), доступністю для реалізації як у ЗДО, так і в домашніх умовах за участю батьків. Саме участь батьків як партнерів превентивного процесу є предметом наступного підрозділу.</w:t>
      </w:r>
    </w:p>
    <w:p>
      <w:pPr>
        <w:ind w:firstLine="0"/>
        <w:jc w:val="both"/>
        <w:spacing w:line="360" w:lineRule="auto"/>
      </w:pPr>
      <w:r>
        <w:rPr>
          <w:rFonts w:ascii="Times New Roman" w:hAnsi="Times New Roman" w:eastAsia="Times New Roman"/>
          <w:b/>
          <w:i w:val="0"/>
          <w:sz w:val="28"/>
        </w:rPr>
        <w:t>2.3.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val="0"/>
          <w:i w:val="0"/>
          <w:sz w:val="28"/>
        </w:rPr>
        <w:t>Сім'я є первинним і найважливішим середовищем мовленнєвого розвитку дитини дошкільного віку. Саме батьки формують основний масив мовленнєвих взаємодій дитини, визначають якість і кількість мовленнєвих стимулів та задають емоційний фон, на якому розгортається мовленнєвий розвиток [1; 9]. В умовах воєнного стану роль батьківської участі у превенції мовленнєвих труднощів різко зростає: часте переміщення родин, порушення режиму відвідування ЗДО, перехід на дистанційне навчання роблять батьків фактично головними реалізаторами превентивних заходів [13]. Водночас самі батьки переживають значний психологічний стрес, що знижує їхню здатність забезпечувати якісне мовленнєве середовище для дитини без додаткової підтримки з боку фахівців [25].</w:t>
      </w:r>
    </w:p>
    <w:p>
      <w:pPr>
        <w:ind w:firstLine="709"/>
        <w:jc w:val="both"/>
        <w:spacing w:line="360" w:lineRule="auto"/>
      </w:pPr>
      <w:r>
        <w:rPr>
          <w:rFonts w:ascii="Times New Roman" w:hAnsi="Times New Roman" w:eastAsia="Times New Roman"/>
          <w:b w:val="0"/>
          <w:i w:val="0"/>
          <w:sz w:val="28"/>
        </w:rPr>
        <w:t>Співпраця ЗДО з батьками в умовах невизначеності має відповідати принципу партнерства, що передбачає відмову від традиційної моделі «фахівець навчає батьків» на користь діалогічної взаємодії, де батьки є повноправними учасниками команди супроводу дитини [9; 43]. Т. І. Поніманська підкреслює, що партнерська взаємодія ЗДО і сім'ї ґрунтується на взаємній повазі, відкритості, конфіденційності та спільній відповідальності за результати розвитку дитини [28]. В умовах кризи до цих принципів додаються: доступність фахівця (можливість звернутися у будь-який зручний час, зокрема через месенджери), гнучкість форм взаємодії (онлайн та офлайн), психологічна підтримка самих батьків.</w:t>
      </w:r>
    </w:p>
    <w:p>
      <w:pPr>
        <w:ind w:firstLine="709"/>
        <w:jc w:val="both"/>
        <w:spacing w:line="360" w:lineRule="auto"/>
      </w:pPr>
      <w:r>
        <w:rPr>
          <w:rFonts w:ascii="Times New Roman" w:hAnsi="Times New Roman" w:eastAsia="Times New Roman"/>
          <w:b w:val="0"/>
          <w:i w:val="0"/>
          <w:sz w:val="28"/>
        </w:rPr>
        <w:t>О. В. Романенко та Т. О. Піроженко виокремлюють три блоки завдань у роботі ЗДО з батьками в контексті превенції мовленнєвих труднощів: інформаційно-просвітницький, навчально-практичний та психологічно-підтримуючий [26; 31]. Інформаційно-просвітницький блок передбачає надання батькам знань про норми мовленнєвого розвитку, ознаки ризику та прийоми стимуляції мовлення у домашніх умовах. Навчально-практичний блок включає тренінги, майстер-класи та відеоінструкції, що дозволяють батькам освоїти конкретні ігрові та арт-терапевтичні техніки. Психологічно-підтримуючий блок спрямований на зниження батьківської тривожності, формування «достатньо хорошого» батьківства в умовах стресу.</w:t>
      </w:r>
    </w:p>
    <w:p>
      <w:pPr>
        <w:ind w:firstLine="709"/>
        <w:jc w:val="both"/>
        <w:spacing w:line="360" w:lineRule="auto"/>
      </w:pPr>
      <w:r>
        <w:rPr>
          <w:rFonts w:ascii="Times New Roman" w:hAnsi="Times New Roman" w:eastAsia="Times New Roman"/>
          <w:b w:val="0"/>
          <w:i w:val="0"/>
          <w:sz w:val="28"/>
        </w:rPr>
        <w:t>Зміст та форми роботи ЗДО з батьками в системі превенції мовленнєвих труднощів залежно від блоку завдань систематизовано в таблиці 2.3.</w:t>
      </w:r>
    </w:p>
    <w:p>
      <w:pPr>
        <w:ind w:firstLine="0"/>
        <w:jc w:val="right"/>
        <w:spacing w:line="360" w:lineRule="auto"/>
      </w:pPr>
      <w:r>
        <w:rPr>
          <w:rFonts w:ascii="Times New Roman" w:hAnsi="Times New Roman" w:eastAsia="Times New Roman"/>
          <w:b w:val="0"/>
          <w:i w:val="0"/>
          <w:sz w:val="28"/>
        </w:rPr>
        <w:t>Таблиця 2.3</w:t>
      </w:r>
    </w:p>
    <w:p>
      <w:pPr>
        <w:ind w:firstLine="0"/>
        <w:jc w:val="center"/>
        <w:spacing w:line="360" w:lineRule="auto"/>
      </w:pPr>
      <w:r>
        <w:rPr>
          <w:rFonts w:ascii="Times New Roman" w:hAnsi="Times New Roman" w:eastAsia="Times New Roman"/>
          <w:b/>
          <w:i w:val="0"/>
          <w:sz w:val="28"/>
        </w:rPr>
        <w:t>Модель співпраці ЗДО з батьками у системі превенції мовленнєвих труднощів в умовах невизначеності</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Блок співпраці</w:t>
            </w:r>
          </w:p>
        </w:tc>
        <w:tc>
          <w:tcPr>
            <w:tcW w:type="dxa" w:w="2410"/>
          </w:tcPr>
          <w:p>
            <w:pPr>
              <w:jc w:val="center"/>
              <w:spacing w:line="360" w:lineRule="auto"/>
            </w:pPr>
            <w:r>
              <w:rPr>
                <w:rFonts w:ascii="Times New Roman" w:hAnsi="Times New Roman" w:eastAsia="Times New Roman"/>
                <w:b/>
                <w:i w:val="0"/>
                <w:sz w:val="24"/>
              </w:rPr>
              <w:t>Форми роботи</w:t>
            </w:r>
          </w:p>
        </w:tc>
        <w:tc>
          <w:tcPr>
            <w:tcW w:type="dxa" w:w="2410"/>
          </w:tcPr>
          <w:p>
            <w:pPr>
              <w:jc w:val="center"/>
              <w:spacing w:line="360" w:lineRule="auto"/>
            </w:pPr>
            <w:r>
              <w:rPr>
                <w:rFonts w:ascii="Times New Roman" w:hAnsi="Times New Roman" w:eastAsia="Times New Roman"/>
                <w:b/>
                <w:i w:val="0"/>
                <w:sz w:val="24"/>
              </w:rPr>
              <w:t>Зміст</w:t>
            </w:r>
          </w:p>
        </w:tc>
        <w:tc>
          <w:tcPr>
            <w:tcW w:type="dxa" w:w="2410"/>
          </w:tcPr>
          <w:p>
            <w:pPr>
              <w:jc w:val="center"/>
              <w:spacing w:line="360" w:lineRule="auto"/>
            </w:pPr>
            <w:r>
              <w:rPr>
                <w:rFonts w:ascii="Times New Roman" w:hAnsi="Times New Roman" w:eastAsia="Times New Roman"/>
                <w:b/>
                <w:i w:val="0"/>
                <w:sz w:val="24"/>
              </w:rPr>
              <w:t>Очікуваний результат</w:t>
            </w:r>
          </w:p>
        </w:tc>
      </w:tr>
      <w:tr>
        <w:tc>
          <w:tcPr>
            <w:tcW w:type="dxa" w:w="2410"/>
          </w:tcPr>
          <w:p>
            <w:pPr>
              <w:jc w:val="left"/>
              <w:spacing w:line="360" w:lineRule="auto"/>
            </w:pPr>
            <w:r>
              <w:rPr>
                <w:rFonts w:ascii="Times New Roman" w:hAnsi="Times New Roman" w:eastAsia="Times New Roman"/>
                <w:b w:val="0"/>
                <w:i w:val="0"/>
                <w:sz w:val="24"/>
              </w:rPr>
              <w:t>Інформаційно-</w:t>
              <w:br/>
              <w:t>просвітницький</w:t>
            </w:r>
          </w:p>
        </w:tc>
        <w:tc>
          <w:tcPr>
            <w:tcW w:type="dxa" w:w="2410"/>
          </w:tcPr>
          <w:p>
            <w:pPr>
              <w:jc w:val="left"/>
              <w:spacing w:line="360" w:lineRule="auto"/>
            </w:pPr>
            <w:r>
              <w:rPr>
                <w:rFonts w:ascii="Times New Roman" w:hAnsi="Times New Roman" w:eastAsia="Times New Roman"/>
                <w:b w:val="0"/>
                <w:i w:val="0"/>
                <w:sz w:val="24"/>
              </w:rPr>
              <w:t>Батьківські збори; буклети; відеолекції; чат-боти</w:t>
            </w:r>
          </w:p>
        </w:tc>
        <w:tc>
          <w:tcPr>
            <w:tcW w:type="dxa" w:w="2410"/>
          </w:tcPr>
          <w:p>
            <w:pPr>
              <w:jc w:val="left"/>
              <w:spacing w:line="360" w:lineRule="auto"/>
            </w:pPr>
            <w:r>
              <w:rPr>
                <w:rFonts w:ascii="Times New Roman" w:hAnsi="Times New Roman" w:eastAsia="Times New Roman"/>
                <w:b w:val="0"/>
                <w:i w:val="0"/>
                <w:sz w:val="24"/>
              </w:rPr>
              <w:t>Норми мовлення 5–7 років; ознаки ризику; коли звертатись до логопеда</w:t>
            </w:r>
          </w:p>
        </w:tc>
        <w:tc>
          <w:tcPr>
            <w:tcW w:type="dxa" w:w="2410"/>
          </w:tcPr>
          <w:p>
            <w:pPr>
              <w:jc w:val="left"/>
              <w:spacing w:line="360" w:lineRule="auto"/>
            </w:pPr>
            <w:r>
              <w:rPr>
                <w:rFonts w:ascii="Times New Roman" w:hAnsi="Times New Roman" w:eastAsia="Times New Roman"/>
                <w:b w:val="0"/>
                <w:i w:val="0"/>
                <w:sz w:val="24"/>
              </w:rPr>
              <w:t>Підвищення обізнаності; своєчасне звернення при тривожних симптомах</w:t>
            </w:r>
          </w:p>
        </w:tc>
      </w:tr>
      <w:tr>
        <w:tc>
          <w:tcPr>
            <w:tcW w:type="dxa" w:w="2410"/>
          </w:tcPr>
          <w:p>
            <w:pPr>
              <w:jc w:val="left"/>
              <w:spacing w:line="360" w:lineRule="auto"/>
            </w:pPr>
            <w:r>
              <w:rPr>
                <w:rFonts w:ascii="Times New Roman" w:hAnsi="Times New Roman" w:eastAsia="Times New Roman"/>
                <w:b w:val="0"/>
                <w:i w:val="0"/>
                <w:sz w:val="24"/>
              </w:rPr>
              <w:t>Навчально-</w:t>
              <w:br/>
              <w:t>практичний</w:t>
            </w:r>
          </w:p>
        </w:tc>
        <w:tc>
          <w:tcPr>
            <w:tcW w:type="dxa" w:w="2410"/>
          </w:tcPr>
          <w:p>
            <w:pPr>
              <w:jc w:val="left"/>
              <w:spacing w:line="360" w:lineRule="auto"/>
            </w:pPr>
            <w:r>
              <w:rPr>
                <w:rFonts w:ascii="Times New Roman" w:hAnsi="Times New Roman" w:eastAsia="Times New Roman"/>
                <w:b w:val="0"/>
                <w:i w:val="0"/>
                <w:sz w:val="24"/>
              </w:rPr>
              <w:t>Майстер-класи; відеоінструкції; «батьківська скринька» порад</w:t>
            </w:r>
          </w:p>
        </w:tc>
        <w:tc>
          <w:tcPr>
            <w:tcW w:type="dxa" w:w="2410"/>
          </w:tcPr>
          <w:p>
            <w:pPr>
              <w:jc w:val="left"/>
              <w:spacing w:line="360" w:lineRule="auto"/>
            </w:pPr>
            <w:r>
              <w:rPr>
                <w:rFonts w:ascii="Times New Roman" w:hAnsi="Times New Roman" w:eastAsia="Times New Roman"/>
                <w:b w:val="0"/>
                <w:i w:val="0"/>
                <w:sz w:val="24"/>
              </w:rPr>
              <w:t>Ігри для розвитку мовлення вдома; артикуляційна гімнастика; читання вголос</w:t>
            </w:r>
          </w:p>
        </w:tc>
        <w:tc>
          <w:tcPr>
            <w:tcW w:type="dxa" w:w="2410"/>
          </w:tcPr>
          <w:p>
            <w:pPr>
              <w:jc w:val="left"/>
              <w:spacing w:line="360" w:lineRule="auto"/>
            </w:pPr>
            <w:r>
              <w:rPr>
                <w:rFonts w:ascii="Times New Roman" w:hAnsi="Times New Roman" w:eastAsia="Times New Roman"/>
                <w:b w:val="0"/>
                <w:i w:val="0"/>
                <w:sz w:val="24"/>
              </w:rPr>
              <w:t>Засвоєння батьками конкретних прийомів стимуляції мовлення</w:t>
            </w:r>
          </w:p>
        </w:tc>
      </w:tr>
      <w:tr>
        <w:tc>
          <w:tcPr>
            <w:tcW w:type="dxa" w:w="2410"/>
          </w:tcPr>
          <w:p>
            <w:pPr>
              <w:jc w:val="left"/>
              <w:spacing w:line="360" w:lineRule="auto"/>
            </w:pPr>
            <w:r>
              <w:rPr>
                <w:rFonts w:ascii="Times New Roman" w:hAnsi="Times New Roman" w:eastAsia="Times New Roman"/>
                <w:b w:val="0"/>
                <w:i w:val="0"/>
                <w:sz w:val="24"/>
              </w:rPr>
              <w:t>Психологічно-</w:t>
              <w:br/>
              <w:t>підтримуючий</w:t>
            </w:r>
          </w:p>
        </w:tc>
        <w:tc>
          <w:tcPr>
            <w:tcW w:type="dxa" w:w="2410"/>
          </w:tcPr>
          <w:p>
            <w:pPr>
              <w:jc w:val="left"/>
              <w:spacing w:line="360" w:lineRule="auto"/>
            </w:pPr>
            <w:r>
              <w:rPr>
                <w:rFonts w:ascii="Times New Roman" w:hAnsi="Times New Roman" w:eastAsia="Times New Roman"/>
                <w:b w:val="0"/>
                <w:i w:val="0"/>
                <w:sz w:val="24"/>
              </w:rPr>
              <w:t>Групи взаємопідтримки; психологічні консультації; арт-сесії</w:t>
            </w:r>
          </w:p>
        </w:tc>
        <w:tc>
          <w:tcPr>
            <w:tcW w:type="dxa" w:w="2410"/>
          </w:tcPr>
          <w:p>
            <w:pPr>
              <w:jc w:val="left"/>
              <w:spacing w:line="360" w:lineRule="auto"/>
            </w:pPr>
            <w:r>
              <w:rPr>
                <w:rFonts w:ascii="Times New Roman" w:hAnsi="Times New Roman" w:eastAsia="Times New Roman"/>
                <w:b w:val="0"/>
                <w:i w:val="0"/>
                <w:sz w:val="24"/>
              </w:rPr>
              <w:t>Зниження батьківської тривоги; ресурсний стан; прийоми саморегуляції</w:t>
            </w:r>
          </w:p>
        </w:tc>
        <w:tc>
          <w:tcPr>
            <w:tcW w:type="dxa" w:w="2410"/>
          </w:tcPr>
          <w:p>
            <w:pPr>
              <w:jc w:val="left"/>
              <w:spacing w:line="360" w:lineRule="auto"/>
            </w:pPr>
            <w:r>
              <w:rPr>
                <w:rFonts w:ascii="Times New Roman" w:hAnsi="Times New Roman" w:eastAsia="Times New Roman"/>
                <w:b w:val="0"/>
                <w:i w:val="0"/>
                <w:sz w:val="24"/>
              </w:rPr>
              <w:t>Стабільний емоційний фон у родині як умова мовленнєвого розвитку</w:t>
            </w:r>
          </w:p>
        </w:tc>
      </w:tr>
      <w:tr>
        <w:tc>
          <w:tcPr>
            <w:tcW w:type="dxa" w:w="2410"/>
          </w:tcPr>
          <w:p>
            <w:pPr>
              <w:jc w:val="left"/>
              <w:spacing w:line="360" w:lineRule="auto"/>
            </w:pPr>
            <w:r>
              <w:rPr>
                <w:rFonts w:ascii="Times New Roman" w:hAnsi="Times New Roman" w:eastAsia="Times New Roman"/>
                <w:b w:val="0"/>
                <w:i w:val="0"/>
                <w:sz w:val="24"/>
              </w:rPr>
              <w:t>Моніторинговий</w:t>
            </w:r>
          </w:p>
        </w:tc>
        <w:tc>
          <w:tcPr>
            <w:tcW w:type="dxa" w:w="2410"/>
          </w:tcPr>
          <w:p>
            <w:pPr>
              <w:jc w:val="left"/>
              <w:spacing w:line="360" w:lineRule="auto"/>
            </w:pPr>
            <w:r>
              <w:rPr>
                <w:rFonts w:ascii="Times New Roman" w:hAnsi="Times New Roman" w:eastAsia="Times New Roman"/>
                <w:b w:val="0"/>
                <w:i w:val="0"/>
                <w:sz w:val="24"/>
              </w:rPr>
              <w:t>Анкети; спостережні аркуші; щоденники розвитку; онлайн-зустрічі</w:t>
            </w:r>
          </w:p>
        </w:tc>
        <w:tc>
          <w:tcPr>
            <w:tcW w:type="dxa" w:w="2410"/>
          </w:tcPr>
          <w:p>
            <w:pPr>
              <w:jc w:val="left"/>
              <w:spacing w:line="360" w:lineRule="auto"/>
            </w:pPr>
            <w:r>
              <w:rPr>
                <w:rFonts w:ascii="Times New Roman" w:hAnsi="Times New Roman" w:eastAsia="Times New Roman"/>
                <w:b w:val="0"/>
                <w:i w:val="0"/>
                <w:sz w:val="24"/>
              </w:rPr>
              <w:t>Відстеження динаміки мовлення вдома; сигнальні ознаки регресії</w:t>
            </w:r>
          </w:p>
        </w:tc>
        <w:tc>
          <w:tcPr>
            <w:tcW w:type="dxa" w:w="2410"/>
          </w:tcPr>
          <w:p>
            <w:pPr>
              <w:jc w:val="left"/>
              <w:spacing w:line="360" w:lineRule="auto"/>
            </w:pPr>
            <w:r>
              <w:rPr>
                <w:rFonts w:ascii="Times New Roman" w:hAnsi="Times New Roman" w:eastAsia="Times New Roman"/>
                <w:b w:val="0"/>
                <w:i w:val="0"/>
                <w:sz w:val="24"/>
              </w:rPr>
              <w:t>Спільна база даних для корекції превентивної програми</w:t>
            </w:r>
          </w:p>
        </w:tc>
      </w:tr>
      <w:tr>
        <w:tc>
          <w:tcPr>
            <w:tcW w:type="dxa" w:w="2410"/>
          </w:tcPr>
          <w:p>
            <w:pPr>
              <w:jc w:val="left"/>
              <w:spacing w:line="360" w:lineRule="auto"/>
            </w:pPr>
            <w:r>
              <w:rPr>
                <w:rFonts w:ascii="Times New Roman" w:hAnsi="Times New Roman" w:eastAsia="Times New Roman"/>
                <w:b w:val="0"/>
                <w:i w:val="0"/>
                <w:sz w:val="24"/>
              </w:rPr>
              <w:t>Командної</w:t>
              <w:br/>
              <w:t>взаємодії</w:t>
            </w:r>
          </w:p>
        </w:tc>
        <w:tc>
          <w:tcPr>
            <w:tcW w:type="dxa" w:w="2410"/>
          </w:tcPr>
          <w:p>
            <w:pPr>
              <w:jc w:val="left"/>
              <w:spacing w:line="360" w:lineRule="auto"/>
            </w:pPr>
            <w:r>
              <w:rPr>
                <w:rFonts w:ascii="Times New Roman" w:hAnsi="Times New Roman" w:eastAsia="Times New Roman"/>
                <w:b w:val="0"/>
                <w:i w:val="0"/>
                <w:sz w:val="24"/>
              </w:rPr>
              <w:t>Консиліуми; ІПР; мультидисциплінарні наради</w:t>
            </w:r>
          </w:p>
        </w:tc>
        <w:tc>
          <w:tcPr>
            <w:tcW w:type="dxa" w:w="2410"/>
          </w:tcPr>
          <w:p>
            <w:pPr>
              <w:jc w:val="left"/>
              <w:spacing w:line="360" w:lineRule="auto"/>
            </w:pPr>
            <w:r>
              <w:rPr>
                <w:rFonts w:ascii="Times New Roman" w:hAnsi="Times New Roman" w:eastAsia="Times New Roman"/>
                <w:b w:val="0"/>
                <w:i w:val="0"/>
                <w:sz w:val="24"/>
              </w:rPr>
              <w:t>Узгодження цілей логопеда, психолога, педагога та батьків</w:t>
            </w:r>
          </w:p>
        </w:tc>
        <w:tc>
          <w:tcPr>
            <w:tcW w:type="dxa" w:w="2410"/>
          </w:tcPr>
          <w:p>
            <w:pPr>
              <w:jc w:val="left"/>
              <w:spacing w:line="360" w:lineRule="auto"/>
            </w:pPr>
            <w:r>
              <w:rPr>
                <w:rFonts w:ascii="Times New Roman" w:hAnsi="Times New Roman" w:eastAsia="Times New Roman"/>
                <w:b w:val="0"/>
                <w:i w:val="0"/>
                <w:sz w:val="24"/>
              </w:rPr>
              <w:t>Цілісний індивідуалізований супровід кожної дитини</w:t>
            </w:r>
          </w:p>
        </w:tc>
      </w:tr>
      <w:tr>
        <w:tc>
          <w:tcPr>
            <w:tcW w:type="dxa" w:w="2410"/>
          </w:tcPr>
          <w:p>
            <w:pPr>
              <w:jc w:val="left"/>
              <w:spacing w:line="360" w:lineRule="auto"/>
            </w:pPr>
            <w:r>
              <w:rPr>
                <w:rFonts w:ascii="Times New Roman" w:hAnsi="Times New Roman" w:eastAsia="Times New Roman"/>
                <w:b w:val="0"/>
                <w:i w:val="0"/>
                <w:sz w:val="24"/>
              </w:rPr>
              <w:t>Дистанційний</w:t>
              <w:br/>
              <w:t>(кризовий)</w:t>
            </w:r>
          </w:p>
        </w:tc>
        <w:tc>
          <w:tcPr>
            <w:tcW w:type="dxa" w:w="2410"/>
          </w:tcPr>
          <w:p>
            <w:pPr>
              <w:jc w:val="left"/>
              <w:spacing w:line="360" w:lineRule="auto"/>
            </w:pPr>
            <w:r>
              <w:rPr>
                <w:rFonts w:ascii="Times New Roman" w:hAnsi="Times New Roman" w:eastAsia="Times New Roman"/>
                <w:b w:val="0"/>
                <w:i w:val="0"/>
                <w:sz w:val="24"/>
              </w:rPr>
              <w:t>Месенджери; відеодзвінки; онлайн-заняття; е-портфоліо</w:t>
            </w:r>
          </w:p>
        </w:tc>
        <w:tc>
          <w:tcPr>
            <w:tcW w:type="dxa" w:w="2410"/>
          </w:tcPr>
          <w:p>
            <w:pPr>
              <w:jc w:val="left"/>
              <w:spacing w:line="360" w:lineRule="auto"/>
            </w:pPr>
            <w:r>
              <w:rPr>
                <w:rFonts w:ascii="Times New Roman" w:hAnsi="Times New Roman" w:eastAsia="Times New Roman"/>
                <w:b w:val="0"/>
                <w:i w:val="0"/>
                <w:sz w:val="24"/>
              </w:rPr>
              <w:t>Забезпечення безперервності превентивної роботи при евакуації / переміщенні</w:t>
            </w:r>
          </w:p>
        </w:tc>
        <w:tc>
          <w:tcPr>
            <w:tcW w:type="dxa" w:w="2410"/>
          </w:tcPr>
          <w:p>
            <w:pPr>
              <w:jc w:val="left"/>
              <w:spacing w:line="360" w:lineRule="auto"/>
            </w:pPr>
            <w:r>
              <w:rPr>
                <w:rFonts w:ascii="Times New Roman" w:hAnsi="Times New Roman" w:eastAsia="Times New Roman"/>
                <w:b w:val="0"/>
                <w:i w:val="0"/>
                <w:sz w:val="24"/>
              </w:rPr>
              <w:t>Неперервність супроводу незалежно від місця перебування родини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9; 13; 25; 26; 28; 31; 43].</w:t>
      </w:r>
    </w:p>
    <w:p>
      <w:pPr>
        <w:ind w:firstLine="709"/>
        <w:jc w:val="both"/>
        <w:spacing w:line="360" w:lineRule="auto"/>
      </w:pPr>
      <w:r>
        <w:rPr>
          <w:rFonts w:ascii="Times New Roman" w:hAnsi="Times New Roman" w:eastAsia="Times New Roman"/>
          <w:b w:val="0"/>
          <w:i w:val="0"/>
          <w:sz w:val="28"/>
        </w:rPr>
        <w:t>Особливої уваги в умовах воєнного стану заслуговує дистанційний формат взаємодії ЗДО з батьками. Л. І. Прохоренко та В. В. Тарасун наголошують, що цифрові інструменти – месенджери, платформи відеозв'язку, електронні портфоліо – здатні не лише компенсувати відсутність очного контакту, а й розширити можливості моніторингу завдяки аудіо- та відеозаписам мовлення дитини, які батьки надсилають фахівцю [30; 37]. Важливою умовою ефективності дистанційної взаємодії є регулярність контактів: навіть у кризових умовах фахівець має підтримувати зв'язок із родиною щонайменше раз на тиждень, щоб вчасно реагувати на зміни у стані дитини.</w:t>
      </w:r>
    </w:p>
    <w:p>
      <w:pPr>
        <w:ind w:firstLine="709"/>
        <w:jc w:val="both"/>
        <w:spacing w:line="360" w:lineRule="auto"/>
      </w:pPr>
      <w:r>
        <w:rPr>
          <w:rFonts w:ascii="Times New Roman" w:hAnsi="Times New Roman" w:eastAsia="Times New Roman"/>
          <w:b w:val="0"/>
          <w:i w:val="0"/>
          <w:sz w:val="28"/>
        </w:rPr>
        <w:t>Н. В. Чередниченко та А. Ю. Татаринцева звертають увагу на феномен «вторинної травматизації» батьків – стану, за якого хронічний стрес батьків сам по собі стає фактором ризику для мовленнєвого розвитку дитини [40; 43]. Тому психологічна підтримка батьків є не опційним, а обов'язковим компонентом превентивної моделі. Групи взаємопідтримки батьків, що функціонують на базі ЗДО або в онлайн-форматі, виконують одночасно психотерапевтичну та освітню функції, об'єднуючи батьків, котрі переживають схожі труднощі, та надаючи їм ресурси для якісної взаємодії з дітьми.</w:t>
      </w:r>
    </w:p>
    <w:p>
      <w:pPr>
        <w:ind w:firstLine="709"/>
        <w:jc w:val="both"/>
        <w:spacing w:line="360" w:lineRule="auto"/>
      </w:pPr>
      <w:r>
        <w:rPr>
          <w:rFonts w:ascii="Times New Roman" w:hAnsi="Times New Roman" w:eastAsia="Times New Roman"/>
          <w:b w:val="0"/>
          <w:i w:val="0"/>
          <w:sz w:val="28"/>
        </w:rPr>
        <w:t>Структурну модель співпраці ЗДО з батьками в системі превенції мовленнєвих труднощів представлено на рис. 2.3.</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МОДЕЛЬ ПАРТНЕРСЬКОЇ СПІВПРАЦІ ЗДО І СІМ'Ї У ПРЕВЕНЦІЇ МОВЛЕННЄВИХ ТРУДНОЩІВ</w:t>
            </w:r>
          </w:p>
        </w:tc>
      </w:tr>
      <w:tr>
        <w:tc>
          <w:tcPr>
            <w:tcW w:type="dxa" w:w="3213"/>
          </w:tcPr>
          <w:p>
            <w:pPr>
              <w:jc w:val="center"/>
              <w:spacing w:line="360" w:lineRule="auto"/>
            </w:pPr>
            <w:r>
              <w:rPr>
                <w:rFonts w:ascii="Times New Roman" w:hAnsi="Times New Roman" w:eastAsia="Times New Roman"/>
                <w:b w:val="0"/>
                <w:i w:val="0"/>
                <w:sz w:val="22"/>
              </w:rPr>
              <w:t>ЗАКЛАД ДОШКІЛЬНОЇ ОСВІТИ</w:t>
              <w:br/>
              <w:t>Логопед · Психолог</w:t>
              <w:br/>
              <w:t>Вихователь · Адміністрація</w:t>
            </w:r>
          </w:p>
        </w:tc>
        <w:tc>
          <w:tcPr>
            <w:tcW w:type="dxa" w:w="3213"/>
          </w:tcPr>
          <w:p>
            <w:pPr>
              <w:jc w:val="center"/>
              <w:spacing w:line="360" w:lineRule="auto"/>
            </w:pPr>
            <w:r>
              <w:rPr>
                <w:rFonts w:ascii="Times New Roman" w:hAnsi="Times New Roman" w:eastAsia="Times New Roman"/>
                <w:b w:val="0"/>
                <w:i w:val="0"/>
                <w:sz w:val="22"/>
              </w:rPr>
              <w:t>ФОРМИ ВЗАЄМОДІЇ</w:t>
              <w:br/>
              <w:t>Офлайн і онлайн зустрічі</w:t>
              <w:br/>
              <w:t>Майстер-класи · Месенджери</w:t>
              <w:br/>
              <w:t>ІПРП · Моніторинг</w:t>
            </w:r>
          </w:p>
        </w:tc>
        <w:tc>
          <w:tcPr>
            <w:tcW w:type="dxa" w:w="3213"/>
          </w:tcPr>
          <w:p>
            <w:pPr>
              <w:jc w:val="center"/>
              <w:spacing w:line="360" w:lineRule="auto"/>
            </w:pPr>
            <w:r>
              <w:rPr>
                <w:rFonts w:ascii="Times New Roman" w:hAnsi="Times New Roman" w:eastAsia="Times New Roman"/>
                <w:b w:val="0"/>
                <w:i w:val="0"/>
                <w:sz w:val="22"/>
              </w:rPr>
              <w:t>СІМ'Я</w:t>
              <w:br/>
              <w:t>Батьки / опікуни</w:t>
              <w:br/>
              <w:t>Дитина</w:t>
              <w:br/>
              <w:t>Домашнє середовище</w:t>
            </w:r>
          </w:p>
        </w:tc>
      </w:tr>
      <w:tr>
        <w:tc>
          <w:tcPr>
            <w:tcW w:type="dxa" w:w="9639"/>
            <w:gridSpan w:val="3"/>
          </w:tcPr>
          <w:p>
            <w:pPr>
              <w:jc w:val="center"/>
              <w:spacing w:line="360" w:lineRule="auto"/>
            </w:pPr>
            <w:r>
              <w:rPr>
                <w:rFonts w:ascii="Times New Roman" w:hAnsi="Times New Roman" w:eastAsia="Times New Roman"/>
                <w:b w:val="0"/>
                <w:i w:val="0"/>
                <w:sz w:val="22"/>
              </w:rPr>
              <w:t>Принципи: партнерство · конфіденційність · доступність · безперервність · індивідуалізація</w:t>
            </w:r>
          </w:p>
        </w:tc>
      </w:tr>
      <w:tr>
        <w:tc>
          <w:tcPr>
            <w:tcW w:type="dxa" w:w="9639"/>
            <w:gridSpan w:val="3"/>
          </w:tcPr>
          <w:p>
            <w:pPr>
              <w:jc w:val="center"/>
              <w:spacing w:line="360" w:lineRule="auto"/>
            </w:pPr>
            <w:r>
              <w:rPr>
                <w:rFonts w:ascii="Times New Roman" w:hAnsi="Times New Roman" w:eastAsia="Times New Roman"/>
                <w:b/>
                <w:i w:val="0"/>
                <w:sz w:val="22"/>
              </w:rPr>
              <w:t>РЕЗУЛЬТАТ: стабільне мовленнєве середовище для дитини незалежно від умов воєнного стану</w:t>
            </w:r>
          </w:p>
        </w:tc>
      </w:tr>
    </w:tbl>
    <w:p>
      <w:pPr>
        <w:ind w:firstLine="0"/>
        <w:jc w:val="center"/>
        <w:spacing w:line="360" w:lineRule="auto"/>
      </w:pPr>
      <w:r>
        <w:rPr>
          <w:rFonts w:ascii="Times New Roman" w:hAnsi="Times New Roman" w:eastAsia="Times New Roman"/>
          <w:b w:val="0"/>
          <w:i/>
          <w:sz w:val="28"/>
        </w:rPr>
        <w:t>Рис. 2.3 Модель партнерської співпраці ЗДО і сім'ї у системі превенції мовленнєвих труднощів в умовах невизначеності</w:t>
      </w:r>
    </w:p>
    <w:p>
      <w:pPr>
        <w:ind w:firstLine="709"/>
        <w:jc w:val="both"/>
        <w:spacing w:line="360" w:lineRule="auto"/>
      </w:pPr>
      <w:r>
        <w:rPr>
          <w:rFonts w:ascii="Times New Roman" w:hAnsi="Times New Roman" w:eastAsia="Times New Roman"/>
          <w:b w:val="0"/>
          <w:i w:val="0"/>
          <w:sz w:val="28"/>
        </w:rPr>
        <w:t>Таким чином, ефективна модель співпраці ЗДО з батьками в умовах невизначеності є багатокомпонентною і поєднує просвітницький, навчально-практичний, психологічно-підтримуючий, моніторинговий та дистанційний блоки. Її реалізація потребує від педагогічного колективу ЗДО гнучкості, готовності до дистанційної взаємодії та розуміння психологічного стану батьків як умови ефективного превентивного партнерства. Впровадження такої моделі в практику роботи ЗДО в умовах воєнного стану забезпечує системний та безперервний характер превенції мовленнєвих труднощів у старших дошкільників, що є ключовою умовою її результативності.</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ВИСНОВКИ</w:t>
      </w:r>
    </w:p>
    <w:p>
      <w:pPr>
        <w:ind w:firstLine="709"/>
        <w:jc w:val="both"/>
        <w:spacing w:line="360" w:lineRule="auto"/>
      </w:pPr>
      <w:r>
        <w:rPr>
          <w:rFonts w:ascii="Times New Roman" w:hAnsi="Times New Roman" w:eastAsia="Times New Roman"/>
          <w:b w:val="0"/>
          <w:i w:val="0"/>
          <w:sz w:val="28"/>
        </w:rPr>
        <w:t>Проведене дослідження підтвердило актуальність і практичну значущість проблеми превенції труднощів мовлення у дітей старшого дошкільного віку в умовах екстремальної невизначеності. На основі теоретичного аналізу наукової літератури та розробки практичної моделі превентивної роботи було сформульовано такі висновки.</w:t>
      </w:r>
    </w:p>
    <w:p>
      <w:pPr>
        <w:ind w:firstLine="709"/>
        <w:jc w:val="both"/>
        <w:spacing w:line="360" w:lineRule="auto"/>
      </w:pPr>
      <w:r>
        <w:rPr>
          <w:rFonts w:ascii="Times New Roman" w:hAnsi="Times New Roman" w:eastAsia="Times New Roman"/>
          <w:b/>
          <w:i w:val="0"/>
          <w:sz w:val="28"/>
        </w:rPr>
        <w:t xml:space="preserve">1. </w:t>
      </w:r>
      <w:r>
        <w:rPr>
          <w:rFonts w:ascii="Times New Roman" w:hAnsi="Times New Roman" w:eastAsia="Times New Roman"/>
          <w:b w:val="0"/>
          <w:i w:val="0"/>
          <w:sz w:val="28"/>
        </w:rPr>
        <w:t>Старший дошкільний вік (5–7 років) є сенситивним періодом для формування мовленнєвої компетентності в усіх її складових – фонетико-фонематичній, лексичній, граматичній, зв'язному мовленні та комунікативній. Психолінгвістичний аналіз у концепціях Л. С. Виготського, О. Р. Лурії, О. А. Леонтьєва та А. М. Богуш засвідчує, що мовленнєвий розвиток дошкільника є нерозривно пов'язаним із загальним психічним розвитком, соціальною взаємодією та емоційним благополуччям дитини. Будь-які несприятливі зовнішні чинники у цей період здатні суттєво порушити природний перебіг мовленнєвого розвитку, що обумовлює необхідність його превентивного захисту.</w:t>
      </w:r>
    </w:p>
    <w:p>
      <w:pPr>
        <w:ind w:firstLine="709"/>
        <w:jc w:val="both"/>
        <w:spacing w:line="360" w:lineRule="auto"/>
      </w:pPr>
      <w:r>
        <w:rPr>
          <w:rFonts w:ascii="Times New Roman" w:hAnsi="Times New Roman" w:eastAsia="Times New Roman"/>
          <w:b/>
          <w:i w:val="0"/>
          <w:sz w:val="28"/>
        </w:rPr>
        <w:t xml:space="preserve">2. </w:t>
      </w:r>
      <w:r>
        <w:rPr>
          <w:rFonts w:ascii="Times New Roman" w:hAnsi="Times New Roman" w:eastAsia="Times New Roman"/>
          <w:b w:val="0"/>
          <w:i w:val="0"/>
          <w:sz w:val="28"/>
        </w:rPr>
        <w:t>Феномен «екстремальної невизначеності» в умовах повномасштабного збройного конфлікту справляє багаторівневий негативний вплив на когнітивну та мовленнєву сфери дитини. На нейрофізіологічному рівні хронічний стрес пригнічує функції префронтальної кори та гіпокампа, необхідні для засвоєння мовленнєвих навичок. На когнітивному рівні спостерігаються порушення уваги, пам'яті та символічного мислення – безпосередніх передумов мовленнєвого розвитку. На комунікативному рівні фіксуються соціальне уникнення, зниження мовленнєвої ініціативності та регресія до ранніх форм мовлення (мутизм, ехолалія). Розуміння цих механізмів є ключовою умовою для науково обґрунтованої превентивної роботи з дітьми в умовах воєнного часу.</w:t>
      </w:r>
    </w:p>
    <w:p>
      <w:pPr>
        <w:ind w:firstLine="709"/>
        <w:jc w:val="both"/>
        <w:spacing w:line="360" w:lineRule="auto"/>
      </w:pPr>
      <w:r>
        <w:rPr>
          <w:rFonts w:ascii="Times New Roman" w:hAnsi="Times New Roman" w:eastAsia="Times New Roman"/>
          <w:b/>
          <w:i w:val="0"/>
          <w:sz w:val="28"/>
        </w:rPr>
        <w:t xml:space="preserve">3. </w:t>
      </w:r>
      <w:r>
        <w:rPr>
          <w:rFonts w:ascii="Times New Roman" w:hAnsi="Times New Roman" w:eastAsia="Times New Roman"/>
          <w:b w:val="0"/>
          <w:i w:val="0"/>
          <w:sz w:val="28"/>
        </w:rPr>
        <w:t>Аналіз сучасної логопсихології дозволив виокремити п'ять основних наукових підходів до превенції мовленнєвих труднощів: нейропсихологічний, комунікативно-діяльнісний, психотерапевтично-орієнтований, системно-превентивний та еколого-середовищний. Жоден із них не є самодостатнім: ефективна превенція в умовах екстремальної невизначеності потребує їх інтеграції, яка забезпечує комплексний вплив на всі рівні ризику – нейробіологічний, когнітивний, емоційний і соціально-комунікативний.</w:t>
      </w:r>
    </w:p>
    <w:p>
      <w:pPr>
        <w:ind w:firstLine="709"/>
        <w:jc w:val="both"/>
        <w:spacing w:line="360" w:lineRule="auto"/>
      </w:pPr>
      <w:r>
        <w:rPr>
          <w:rFonts w:ascii="Times New Roman" w:hAnsi="Times New Roman" w:eastAsia="Times New Roman"/>
          <w:b/>
          <w:i w:val="0"/>
          <w:sz w:val="28"/>
        </w:rPr>
        <w:t xml:space="preserve">4. </w:t>
      </w:r>
      <w:r>
        <w:rPr>
          <w:rFonts w:ascii="Times New Roman" w:hAnsi="Times New Roman" w:eastAsia="Times New Roman"/>
          <w:b w:val="0"/>
          <w:i w:val="0"/>
          <w:sz w:val="28"/>
        </w:rPr>
        <w:t>Комплексний моніторинг мовленнєвих і немовленнєвих процесів у дітей у кризових умовах є необхідною передумовою ефективної превенції. Запропонована трирівнева модель моніторингу (масовий скринінг педагогом, поглиблена діагностика логопедом, командний супровід) передбачає відмову від формалізованого тестування на користь «м'якого» спостереження у природних ситуаціях, використання методу портфоліо розвитку та обов'язкове залучення батьків. Скорочення інтервалів між скринінговими процедурами до одного місяця (для дітей групи ризику – щотижневе спостереження) забезпечує своєчасне виявлення динаміки стану дитини.</w:t>
      </w:r>
    </w:p>
    <w:p>
      <w:pPr>
        <w:ind w:firstLine="709"/>
        <w:jc w:val="both"/>
        <w:spacing w:line="360" w:lineRule="auto"/>
      </w:pPr>
      <w:r>
        <w:rPr>
          <w:rFonts w:ascii="Times New Roman" w:hAnsi="Times New Roman" w:eastAsia="Times New Roman"/>
          <w:b/>
          <w:i w:val="0"/>
          <w:sz w:val="28"/>
        </w:rPr>
        <w:t xml:space="preserve">5. </w:t>
      </w:r>
      <w:r>
        <w:rPr>
          <w:rFonts w:ascii="Times New Roman" w:hAnsi="Times New Roman" w:eastAsia="Times New Roman"/>
          <w:b w:val="0"/>
          <w:i w:val="0"/>
          <w:sz w:val="28"/>
        </w:rPr>
        <w:t>Система ігрових та арт-терапевтичних методів є провідним інструментарієм превентивної роботи з мовлення в умовах екстремальної невизначеності. Її ефективність визначається природовідповідністю (відповідністю провідній ігровій діяльності дошкільника), поліфункціональністю (одночасним впливом на мовленнєву та емоційну сфери) та доступністю для реалізації як у ЗДО, так і в домашніх умовах. Особливу роль відіграють казкотерапія (підтримка нарративних навичок), пісочна терапія (сенсорна інтеграція і дрібна моторика), музикотерапія (ритмічна стимуляція мовленнєвих зон мозку) та ляльковий театр (збереження комунікативної функції мовлення).</w:t>
      </w:r>
    </w:p>
    <w:p>
      <w:pPr>
        <w:ind w:firstLine="709"/>
        <w:jc w:val="both"/>
        <w:spacing w:line="360" w:lineRule="auto"/>
      </w:pPr>
      <w:r>
        <w:rPr>
          <w:rFonts w:ascii="Times New Roman" w:hAnsi="Times New Roman" w:eastAsia="Times New Roman"/>
          <w:b/>
          <w:i w:val="0"/>
          <w:sz w:val="28"/>
        </w:rPr>
        <w:t xml:space="preserve">6. </w:t>
      </w:r>
      <w:r>
        <w:rPr>
          <w:rFonts w:ascii="Times New Roman" w:hAnsi="Times New Roman" w:eastAsia="Times New Roman"/>
          <w:b w:val="0"/>
          <w:i w:val="0"/>
          <w:sz w:val="28"/>
        </w:rPr>
        <w:t>Модель партнерської співпраці ЗДО з батьками в умовах невизначеності є багатокомпонентною і включає шість блоків: інформаційно-просвітницький, навчально-практичний, психологічно-підтримуючий, моніторинговий, командної взаємодії та дистанційний. Принципово важливим є психологічна підтримка самих батьків як умова профілактики «вторинної травматизації», що безпосередньо позначається на якості мовленнєвого середовища для дитини. Цифрові інструменти взаємодії забезпечують безперервність превентивного супроводу навіть в умовах вимушеного переміщення родин.</w:t>
      </w:r>
    </w:p>
    <w:p>
      <w:pPr>
        <w:ind w:firstLine="709"/>
        <w:jc w:val="both"/>
        <w:spacing w:line="360" w:lineRule="auto"/>
      </w:pPr>
      <w:r>
        <w:rPr>
          <w:rFonts w:ascii="Times New Roman" w:hAnsi="Times New Roman" w:eastAsia="Times New Roman"/>
          <w:b w:val="0"/>
          <w:i w:val="0"/>
          <w:sz w:val="28"/>
        </w:rPr>
        <w:t>Практична значущість дослідження полягає в тому, що розроблені теоретико-методичні засади інтегрованої превентивної роботи можуть бути використані логопедами, психологами та вихователями ЗДО для організації системної превенції мовленнєвих порушень у дітей старшого дошкільного віку в умовах воєнного стану. Запропонована модель є гнучкою і може адаптуватися до конкретних умов роботи закладу – очного, дистанційного або змішаного формату.</w:t>
      </w:r>
    </w:p>
    <w:p>
      <w:pPr>
        <w:ind w:firstLine="709"/>
        <w:jc w:val="both"/>
        <w:spacing w:line="360" w:lineRule="auto"/>
      </w:pPr>
      <w:r>
        <w:rPr>
          <w:rFonts w:ascii="Times New Roman" w:hAnsi="Times New Roman" w:eastAsia="Times New Roman"/>
          <w:b w:val="0"/>
          <w:i w:val="0"/>
          <w:sz w:val="28"/>
        </w:rPr>
        <w:t>Перспективами подальших досліджень є: емпірична апробація запропонованої моделі моніторингу в умовах конкретних ЗДО; розробка та верифікація авторського скринінгового інструментарію для оцінки мовленнєвого стану дошкільників у кризових умовах; дослідження довгострокових наслідків воєнного стресу для мовленнєвого розвитку дітей і розробка відповідних корекційних програм.</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