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B21B" w14:textId="07609D6D" w:rsidR="00B900EE" w:rsidRPr="00272192" w:rsidRDefault="00B900EE" w:rsidP="00B900EE">
      <w:pPr>
        <w:pStyle w:val="NormalWeb"/>
        <w:numPr>
          <w:ilvl w:val="0"/>
          <w:numId w:val="2"/>
        </w:numPr>
        <w:rPr>
          <w:color w:val="000000"/>
          <w:sz w:val="20"/>
          <w:szCs w:val="20"/>
        </w:rPr>
      </w:pPr>
      <w:r w:rsidRPr="00272192">
        <w:rPr>
          <w:rStyle w:val="Strong"/>
          <w:rFonts w:eastAsiaTheme="majorEastAsia"/>
          <w:color w:val="000000"/>
          <w:sz w:val="20"/>
          <w:szCs w:val="20"/>
        </w:rPr>
        <w:t>Problem Statement</w:t>
      </w:r>
      <w:r w:rsidRPr="00272192">
        <w:rPr>
          <w:rStyle w:val="Strong"/>
          <w:rFonts w:eastAsiaTheme="majorEastAsia"/>
          <w:color w:val="000000"/>
          <w:sz w:val="20"/>
          <w:szCs w:val="20"/>
        </w:rPr>
        <w:t>:</w:t>
      </w:r>
      <w:r w:rsidRPr="00272192">
        <w:rPr>
          <w:color w:val="000000"/>
          <w:sz w:val="20"/>
          <w:szCs w:val="20"/>
        </w:rPr>
        <w:br/>
        <w:t>“Different customers contribute differently to profitability and risk. Treating all customers the same leads to revenue leakage and poor retention. The goal is to segment customers into risk–profit groups to enable targeted premium adjustment and retention strategies.”</w:t>
      </w:r>
    </w:p>
    <w:p w14:paraId="2E13AC92" w14:textId="77777777" w:rsidR="00B900EE" w:rsidRPr="00272192" w:rsidRDefault="00B900EE" w:rsidP="00B900EE">
      <w:pPr>
        <w:pStyle w:val="NormalWeb"/>
        <w:rPr>
          <w:color w:val="000000"/>
          <w:sz w:val="20"/>
          <w:szCs w:val="20"/>
        </w:rPr>
      </w:pPr>
      <w:r w:rsidRPr="00272192">
        <w:rPr>
          <w:rStyle w:val="Strong"/>
          <w:rFonts w:eastAsiaTheme="majorEastAsia"/>
          <w:color w:val="000000"/>
          <w:sz w:val="20"/>
          <w:szCs w:val="20"/>
        </w:rPr>
        <w:t>Expected Output:</w:t>
      </w:r>
    </w:p>
    <w:p w14:paraId="43D0330F" w14:textId="7546C3AA" w:rsidR="00B900EE" w:rsidRPr="00272192" w:rsidRDefault="00B900EE" w:rsidP="00B900EE">
      <w:pPr>
        <w:pStyle w:val="NormalWeb"/>
        <w:numPr>
          <w:ilvl w:val="0"/>
          <w:numId w:val="1"/>
        </w:numPr>
        <w:rPr>
          <w:color w:val="000000"/>
          <w:sz w:val="20"/>
          <w:szCs w:val="20"/>
        </w:rPr>
      </w:pPr>
      <w:r w:rsidRPr="00272192">
        <w:rPr>
          <w:color w:val="000000"/>
          <w:sz w:val="20"/>
          <w:szCs w:val="20"/>
        </w:rPr>
        <w:t>Low Risk – High Profit (Retain &amp; Reward</w:t>
      </w:r>
      <w:r w:rsidR="00A51D08" w:rsidRPr="00272192">
        <w:rPr>
          <w:color w:val="000000"/>
          <w:sz w:val="20"/>
          <w:szCs w:val="20"/>
        </w:rPr>
        <w:t xml:space="preserve">, </w:t>
      </w:r>
      <w:r w:rsidR="00DB0B79" w:rsidRPr="00272192">
        <w:rPr>
          <w:color w:val="000000"/>
          <w:sz w:val="20"/>
          <w:szCs w:val="20"/>
        </w:rPr>
        <w:t>-</w:t>
      </w:r>
      <w:r w:rsidR="00A51D08" w:rsidRPr="00272192">
        <w:rPr>
          <w:color w:val="000000"/>
          <w:sz w:val="20"/>
          <w:szCs w:val="20"/>
        </w:rPr>
        <w:t>5</w:t>
      </w:r>
      <w:r w:rsidR="00DB0B79" w:rsidRPr="00272192">
        <w:rPr>
          <w:color w:val="000000"/>
          <w:sz w:val="20"/>
          <w:szCs w:val="20"/>
        </w:rPr>
        <w:t xml:space="preserve"> to -8</w:t>
      </w:r>
      <w:r w:rsidR="00A51D08" w:rsidRPr="00272192">
        <w:rPr>
          <w:color w:val="000000"/>
          <w:sz w:val="20"/>
          <w:szCs w:val="20"/>
        </w:rPr>
        <w:t>%</w:t>
      </w:r>
      <w:r w:rsidRPr="00272192">
        <w:rPr>
          <w:color w:val="000000"/>
          <w:sz w:val="20"/>
          <w:szCs w:val="20"/>
        </w:rPr>
        <w:t>)</w:t>
      </w:r>
    </w:p>
    <w:p w14:paraId="25438E02" w14:textId="3C996681" w:rsidR="00B900EE" w:rsidRPr="00272192" w:rsidRDefault="00B900EE" w:rsidP="00B900EE">
      <w:pPr>
        <w:pStyle w:val="NormalWeb"/>
        <w:numPr>
          <w:ilvl w:val="0"/>
          <w:numId w:val="1"/>
        </w:numPr>
        <w:rPr>
          <w:color w:val="000000"/>
          <w:sz w:val="20"/>
          <w:szCs w:val="20"/>
        </w:rPr>
      </w:pPr>
      <w:r w:rsidRPr="00272192">
        <w:rPr>
          <w:color w:val="000000"/>
          <w:sz w:val="20"/>
          <w:szCs w:val="20"/>
        </w:rPr>
        <w:t>Medium Risk – Medium Profit (Monitor</w:t>
      </w:r>
      <w:r w:rsidR="00A51D08" w:rsidRPr="00272192">
        <w:rPr>
          <w:color w:val="000000"/>
          <w:sz w:val="20"/>
          <w:szCs w:val="20"/>
        </w:rPr>
        <w:t>, 0%</w:t>
      </w:r>
      <w:r w:rsidRPr="00272192">
        <w:rPr>
          <w:color w:val="000000"/>
          <w:sz w:val="20"/>
          <w:szCs w:val="20"/>
        </w:rPr>
        <w:t>)</w:t>
      </w:r>
    </w:p>
    <w:p w14:paraId="2B48F553" w14:textId="0A22DA06" w:rsidR="00B900EE" w:rsidRPr="00272192" w:rsidRDefault="00B900EE" w:rsidP="00B900EE">
      <w:pPr>
        <w:pStyle w:val="NormalWeb"/>
        <w:numPr>
          <w:ilvl w:val="0"/>
          <w:numId w:val="1"/>
        </w:numPr>
        <w:rPr>
          <w:color w:val="000000"/>
          <w:sz w:val="20"/>
          <w:szCs w:val="20"/>
        </w:rPr>
      </w:pPr>
      <w:r w:rsidRPr="00272192">
        <w:rPr>
          <w:color w:val="000000"/>
          <w:sz w:val="20"/>
          <w:szCs w:val="20"/>
        </w:rPr>
        <w:t>High Risk – Low/Negative Profit (Reprice or Exit</w:t>
      </w:r>
      <w:r w:rsidR="00A51D08" w:rsidRPr="00272192">
        <w:rPr>
          <w:color w:val="000000"/>
          <w:sz w:val="20"/>
          <w:szCs w:val="20"/>
        </w:rPr>
        <w:t xml:space="preserve">, </w:t>
      </w:r>
      <w:r w:rsidR="00DB0B79" w:rsidRPr="00272192">
        <w:rPr>
          <w:color w:val="000000"/>
          <w:sz w:val="20"/>
          <w:szCs w:val="20"/>
        </w:rPr>
        <w:t>+10 to +</w:t>
      </w:r>
      <w:r w:rsidR="00A51D08" w:rsidRPr="00272192">
        <w:rPr>
          <w:color w:val="000000"/>
          <w:sz w:val="20"/>
          <w:szCs w:val="20"/>
        </w:rPr>
        <w:t>15%</w:t>
      </w:r>
      <w:r w:rsidRPr="00272192">
        <w:rPr>
          <w:color w:val="000000"/>
          <w:sz w:val="20"/>
          <w:szCs w:val="20"/>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520"/>
      </w:tblGrid>
      <w:tr w:rsidR="00B900EE" w:rsidRPr="00B900EE" w14:paraId="67120472" w14:textId="77777777" w:rsidTr="00467FB5">
        <w:trPr>
          <w:tblHeader/>
          <w:tblCellSpacing w:w="15" w:type="dxa"/>
        </w:trPr>
        <w:tc>
          <w:tcPr>
            <w:tcW w:w="2502" w:type="dxa"/>
            <w:vAlign w:val="center"/>
            <w:hideMark/>
          </w:tcPr>
          <w:p w14:paraId="7E29B9FC" w14:textId="1CA78EA5" w:rsidR="00B900EE" w:rsidRPr="00B900EE" w:rsidRDefault="00B900EE" w:rsidP="00B900EE">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B900EE">
              <w:rPr>
                <w:rFonts w:ascii="Times New Roman" w:eastAsia="Times New Roman" w:hAnsi="Times New Roman" w:cs="Times New Roman"/>
                <w:b/>
                <w:bCs/>
                <w:color w:val="000000"/>
                <w:kern w:val="0"/>
                <w:sz w:val="20"/>
                <w:szCs w:val="20"/>
                <w:lang w:eastAsia="en-GB"/>
                <w14:ligatures w14:val="none"/>
              </w:rPr>
              <w:t>New Variable</w:t>
            </w:r>
            <w:r w:rsidRPr="00272192">
              <w:rPr>
                <w:rFonts w:ascii="Times New Roman" w:eastAsia="Times New Roman" w:hAnsi="Times New Roman" w:cs="Times New Roman"/>
                <w:b/>
                <w:bCs/>
                <w:color w:val="000000"/>
                <w:kern w:val="0"/>
                <w:sz w:val="20"/>
                <w:szCs w:val="20"/>
                <w:lang w:eastAsia="en-GB"/>
                <w14:ligatures w14:val="none"/>
              </w:rPr>
              <w:t>s</w:t>
            </w:r>
          </w:p>
        </w:tc>
        <w:tc>
          <w:tcPr>
            <w:tcW w:w="6475" w:type="dxa"/>
            <w:vAlign w:val="center"/>
            <w:hideMark/>
          </w:tcPr>
          <w:p w14:paraId="21D0EC9D" w14:textId="1C1A04CC" w:rsidR="00B900EE" w:rsidRPr="00B900EE" w:rsidRDefault="00B900EE" w:rsidP="00B900EE">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272192">
              <w:rPr>
                <w:rFonts w:ascii="Times New Roman" w:eastAsia="Times New Roman" w:hAnsi="Times New Roman" w:cs="Times New Roman"/>
                <w:b/>
                <w:bCs/>
                <w:color w:val="000000"/>
                <w:kern w:val="0"/>
                <w:sz w:val="20"/>
                <w:szCs w:val="20"/>
                <w:lang w:eastAsia="en-GB"/>
                <w14:ligatures w14:val="none"/>
              </w:rPr>
              <w:t>Derived</w:t>
            </w:r>
            <w:r w:rsidRPr="00B900EE">
              <w:rPr>
                <w:rFonts w:ascii="Times New Roman" w:eastAsia="Times New Roman" w:hAnsi="Times New Roman" w:cs="Times New Roman"/>
                <w:b/>
                <w:bCs/>
                <w:color w:val="000000"/>
                <w:kern w:val="0"/>
                <w:sz w:val="20"/>
                <w:szCs w:val="20"/>
                <w:lang w:eastAsia="en-GB"/>
                <w14:ligatures w14:val="none"/>
              </w:rPr>
              <w:t xml:space="preserve"> Formula</w:t>
            </w:r>
          </w:p>
        </w:tc>
      </w:tr>
      <w:tr w:rsidR="00B900EE" w:rsidRPr="00B900EE" w14:paraId="1988A9E0" w14:textId="77777777" w:rsidTr="00467FB5">
        <w:trPr>
          <w:tblCellSpacing w:w="15" w:type="dxa"/>
        </w:trPr>
        <w:tc>
          <w:tcPr>
            <w:tcW w:w="2502" w:type="dxa"/>
            <w:vAlign w:val="center"/>
            <w:hideMark/>
          </w:tcPr>
          <w:p w14:paraId="39417935"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B900EE">
              <w:rPr>
                <w:rFonts w:ascii="Times New Roman" w:eastAsia="Times New Roman" w:hAnsi="Times New Roman" w:cs="Times New Roman"/>
                <w:b/>
                <w:bCs/>
                <w:color w:val="000000"/>
                <w:kern w:val="0"/>
                <w:sz w:val="20"/>
                <w:szCs w:val="20"/>
                <w:lang w:eastAsia="en-GB"/>
                <w14:ligatures w14:val="none"/>
              </w:rPr>
              <w:t>Claim_Ratio</w:t>
            </w:r>
            <w:proofErr w:type="spellEnd"/>
          </w:p>
        </w:tc>
        <w:tc>
          <w:tcPr>
            <w:tcW w:w="6475" w:type="dxa"/>
            <w:vAlign w:val="center"/>
            <w:hideMark/>
          </w:tcPr>
          <w:p w14:paraId="1FD3C065"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r w:rsidRPr="00B900EE">
              <w:rPr>
                <w:rFonts w:ascii="Times New Roman" w:eastAsia="Times New Roman" w:hAnsi="Times New Roman" w:cs="Times New Roman"/>
                <w:color w:val="000000"/>
                <w:kern w:val="0"/>
                <w:sz w:val="20"/>
                <w:szCs w:val="20"/>
                <w:lang w:eastAsia="en-GB"/>
                <w14:ligatures w14:val="none"/>
              </w:rPr>
              <w:t>=</w:t>
            </w:r>
            <w:proofErr w:type="spellStart"/>
            <w:r w:rsidRPr="00B900EE">
              <w:rPr>
                <w:rFonts w:ascii="Times New Roman" w:eastAsia="Times New Roman" w:hAnsi="Times New Roman" w:cs="Times New Roman"/>
                <w:color w:val="000000"/>
                <w:kern w:val="0"/>
                <w:sz w:val="20"/>
                <w:szCs w:val="20"/>
                <w:lang w:eastAsia="en-GB"/>
                <w14:ligatures w14:val="none"/>
              </w:rPr>
              <w:t>Total_Claim_Amount</w:t>
            </w:r>
            <w:proofErr w:type="spellEnd"/>
            <w:r w:rsidRPr="00B900EE">
              <w:rPr>
                <w:rFonts w:ascii="Times New Roman" w:eastAsia="Times New Roman" w:hAnsi="Times New Roman" w:cs="Times New Roman"/>
                <w:color w:val="000000"/>
                <w:kern w:val="0"/>
                <w:sz w:val="20"/>
                <w:szCs w:val="20"/>
                <w:lang w:eastAsia="en-GB"/>
                <w14:ligatures w14:val="none"/>
              </w:rPr>
              <w:t xml:space="preserve"> / (</w:t>
            </w:r>
            <w:proofErr w:type="spellStart"/>
            <w:r w:rsidRPr="00B900EE">
              <w:rPr>
                <w:rFonts w:ascii="Times New Roman" w:eastAsia="Times New Roman" w:hAnsi="Times New Roman" w:cs="Times New Roman"/>
                <w:color w:val="000000"/>
                <w:kern w:val="0"/>
                <w:sz w:val="20"/>
                <w:szCs w:val="20"/>
                <w:lang w:eastAsia="en-GB"/>
                <w14:ligatures w14:val="none"/>
              </w:rPr>
              <w:t>Policy_Annual_Premium</w:t>
            </w:r>
            <w:proofErr w:type="spellEnd"/>
            <w:r w:rsidRPr="00B900EE">
              <w:rPr>
                <w:rFonts w:ascii="Times New Roman" w:eastAsia="Times New Roman" w:hAnsi="Times New Roman" w:cs="Times New Roman"/>
                <w:color w:val="000000"/>
                <w:kern w:val="0"/>
                <w:sz w:val="20"/>
                <w:szCs w:val="20"/>
                <w:lang w:eastAsia="en-GB"/>
                <w14:ligatures w14:val="none"/>
              </w:rPr>
              <w:t xml:space="preserve"> + 1)</w:t>
            </w:r>
          </w:p>
        </w:tc>
      </w:tr>
      <w:tr w:rsidR="00B900EE" w:rsidRPr="00B900EE" w14:paraId="380127C5" w14:textId="77777777" w:rsidTr="00467FB5">
        <w:trPr>
          <w:tblCellSpacing w:w="15" w:type="dxa"/>
        </w:trPr>
        <w:tc>
          <w:tcPr>
            <w:tcW w:w="2502" w:type="dxa"/>
            <w:vAlign w:val="center"/>
            <w:hideMark/>
          </w:tcPr>
          <w:p w14:paraId="2AE9BF48"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B900EE">
              <w:rPr>
                <w:rFonts w:ascii="Times New Roman" w:eastAsia="Times New Roman" w:hAnsi="Times New Roman" w:cs="Times New Roman"/>
                <w:b/>
                <w:bCs/>
                <w:color w:val="000000"/>
                <w:kern w:val="0"/>
                <w:sz w:val="20"/>
                <w:szCs w:val="20"/>
                <w:lang w:eastAsia="en-GB"/>
                <w14:ligatures w14:val="none"/>
              </w:rPr>
              <w:t>Profit_Margin_Estimate</w:t>
            </w:r>
            <w:proofErr w:type="spellEnd"/>
          </w:p>
        </w:tc>
        <w:tc>
          <w:tcPr>
            <w:tcW w:w="6475" w:type="dxa"/>
            <w:vAlign w:val="center"/>
            <w:hideMark/>
          </w:tcPr>
          <w:p w14:paraId="645BFCE1"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r w:rsidRPr="00B900EE">
              <w:rPr>
                <w:rFonts w:ascii="Times New Roman" w:eastAsia="Times New Roman" w:hAnsi="Times New Roman" w:cs="Times New Roman"/>
                <w:color w:val="000000"/>
                <w:kern w:val="0"/>
                <w:sz w:val="20"/>
                <w:szCs w:val="20"/>
                <w:lang w:eastAsia="en-GB"/>
                <w14:ligatures w14:val="none"/>
              </w:rPr>
              <w:t>=</w:t>
            </w:r>
            <w:proofErr w:type="spellStart"/>
            <w:r w:rsidRPr="00B900EE">
              <w:rPr>
                <w:rFonts w:ascii="Times New Roman" w:eastAsia="Times New Roman" w:hAnsi="Times New Roman" w:cs="Times New Roman"/>
                <w:color w:val="000000"/>
                <w:kern w:val="0"/>
                <w:sz w:val="20"/>
                <w:szCs w:val="20"/>
                <w:lang w:eastAsia="en-GB"/>
                <w14:ligatures w14:val="none"/>
              </w:rPr>
              <w:t>Policy_Annual_Premium</w:t>
            </w:r>
            <w:proofErr w:type="spellEnd"/>
            <w:r w:rsidRPr="00B900EE">
              <w:rPr>
                <w:rFonts w:ascii="Times New Roman" w:eastAsia="Times New Roman" w:hAnsi="Times New Roman" w:cs="Times New Roman"/>
                <w:color w:val="000000"/>
                <w:kern w:val="0"/>
                <w:sz w:val="20"/>
                <w:szCs w:val="20"/>
                <w:lang w:eastAsia="en-GB"/>
                <w14:ligatures w14:val="none"/>
              </w:rPr>
              <w:t xml:space="preserve"> - </w:t>
            </w:r>
            <w:proofErr w:type="spellStart"/>
            <w:r w:rsidRPr="00B900EE">
              <w:rPr>
                <w:rFonts w:ascii="Times New Roman" w:eastAsia="Times New Roman" w:hAnsi="Times New Roman" w:cs="Times New Roman"/>
                <w:color w:val="000000"/>
                <w:kern w:val="0"/>
                <w:sz w:val="20"/>
                <w:szCs w:val="20"/>
                <w:lang w:eastAsia="en-GB"/>
                <w14:ligatures w14:val="none"/>
              </w:rPr>
              <w:t>Total_Claim_Amount</w:t>
            </w:r>
            <w:proofErr w:type="spellEnd"/>
          </w:p>
        </w:tc>
      </w:tr>
      <w:tr w:rsidR="00B900EE" w:rsidRPr="00B900EE" w14:paraId="5ED50B11" w14:textId="77777777" w:rsidTr="00467FB5">
        <w:trPr>
          <w:tblCellSpacing w:w="15" w:type="dxa"/>
        </w:trPr>
        <w:tc>
          <w:tcPr>
            <w:tcW w:w="2502" w:type="dxa"/>
            <w:vAlign w:val="center"/>
            <w:hideMark/>
          </w:tcPr>
          <w:p w14:paraId="1F5F76DA"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B900EE">
              <w:rPr>
                <w:rFonts w:ascii="Times New Roman" w:eastAsia="Times New Roman" w:hAnsi="Times New Roman" w:cs="Times New Roman"/>
                <w:b/>
                <w:bCs/>
                <w:color w:val="000000"/>
                <w:kern w:val="0"/>
                <w:sz w:val="20"/>
                <w:szCs w:val="20"/>
                <w:lang w:eastAsia="en-GB"/>
                <w14:ligatures w14:val="none"/>
              </w:rPr>
              <w:t>Premium_to_Claim_Ratio</w:t>
            </w:r>
            <w:proofErr w:type="spellEnd"/>
          </w:p>
        </w:tc>
        <w:tc>
          <w:tcPr>
            <w:tcW w:w="6475" w:type="dxa"/>
            <w:vAlign w:val="center"/>
            <w:hideMark/>
          </w:tcPr>
          <w:p w14:paraId="2C5F4B35"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r w:rsidRPr="00B900EE">
              <w:rPr>
                <w:rFonts w:ascii="Times New Roman" w:eastAsia="Times New Roman" w:hAnsi="Times New Roman" w:cs="Times New Roman"/>
                <w:color w:val="000000"/>
                <w:kern w:val="0"/>
                <w:sz w:val="20"/>
                <w:szCs w:val="20"/>
                <w:lang w:eastAsia="en-GB"/>
                <w14:ligatures w14:val="none"/>
              </w:rPr>
              <w:t>=</w:t>
            </w:r>
            <w:proofErr w:type="spellStart"/>
            <w:r w:rsidRPr="00B900EE">
              <w:rPr>
                <w:rFonts w:ascii="Times New Roman" w:eastAsia="Times New Roman" w:hAnsi="Times New Roman" w:cs="Times New Roman"/>
                <w:color w:val="000000"/>
                <w:kern w:val="0"/>
                <w:sz w:val="20"/>
                <w:szCs w:val="20"/>
                <w:lang w:eastAsia="en-GB"/>
                <w14:ligatures w14:val="none"/>
              </w:rPr>
              <w:t>Policy_Annual_Premium</w:t>
            </w:r>
            <w:proofErr w:type="spellEnd"/>
            <w:r w:rsidRPr="00B900EE">
              <w:rPr>
                <w:rFonts w:ascii="Times New Roman" w:eastAsia="Times New Roman" w:hAnsi="Times New Roman" w:cs="Times New Roman"/>
                <w:color w:val="000000"/>
                <w:kern w:val="0"/>
                <w:sz w:val="20"/>
                <w:szCs w:val="20"/>
                <w:lang w:eastAsia="en-GB"/>
                <w14:ligatures w14:val="none"/>
              </w:rPr>
              <w:t xml:space="preserve"> / (</w:t>
            </w:r>
            <w:proofErr w:type="spellStart"/>
            <w:r w:rsidRPr="00B900EE">
              <w:rPr>
                <w:rFonts w:ascii="Times New Roman" w:eastAsia="Times New Roman" w:hAnsi="Times New Roman" w:cs="Times New Roman"/>
                <w:color w:val="000000"/>
                <w:kern w:val="0"/>
                <w:sz w:val="20"/>
                <w:szCs w:val="20"/>
                <w:lang w:eastAsia="en-GB"/>
                <w14:ligatures w14:val="none"/>
              </w:rPr>
              <w:t>Total_Claim_Amount</w:t>
            </w:r>
            <w:proofErr w:type="spellEnd"/>
            <w:r w:rsidRPr="00B900EE">
              <w:rPr>
                <w:rFonts w:ascii="Times New Roman" w:eastAsia="Times New Roman" w:hAnsi="Times New Roman" w:cs="Times New Roman"/>
                <w:color w:val="000000"/>
                <w:kern w:val="0"/>
                <w:sz w:val="20"/>
                <w:szCs w:val="20"/>
                <w:lang w:eastAsia="en-GB"/>
                <w14:ligatures w14:val="none"/>
              </w:rPr>
              <w:t xml:space="preserve"> + 1)</w:t>
            </w:r>
          </w:p>
        </w:tc>
      </w:tr>
      <w:tr w:rsidR="00B900EE" w:rsidRPr="00B900EE" w14:paraId="3CE140B5" w14:textId="77777777" w:rsidTr="00467FB5">
        <w:trPr>
          <w:tblCellSpacing w:w="15" w:type="dxa"/>
        </w:trPr>
        <w:tc>
          <w:tcPr>
            <w:tcW w:w="2502" w:type="dxa"/>
            <w:vAlign w:val="center"/>
            <w:hideMark/>
          </w:tcPr>
          <w:p w14:paraId="2E166AB6"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B900EE">
              <w:rPr>
                <w:rFonts w:ascii="Times New Roman" w:eastAsia="Times New Roman" w:hAnsi="Times New Roman" w:cs="Times New Roman"/>
                <w:b/>
                <w:bCs/>
                <w:color w:val="000000"/>
                <w:kern w:val="0"/>
                <w:sz w:val="20"/>
                <w:szCs w:val="20"/>
                <w:lang w:eastAsia="en-GB"/>
                <w14:ligatures w14:val="none"/>
              </w:rPr>
              <w:t>Vehicle_Age</w:t>
            </w:r>
            <w:proofErr w:type="spellEnd"/>
          </w:p>
        </w:tc>
        <w:tc>
          <w:tcPr>
            <w:tcW w:w="6475" w:type="dxa"/>
            <w:vAlign w:val="center"/>
            <w:hideMark/>
          </w:tcPr>
          <w:p w14:paraId="2D08924C"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r w:rsidRPr="00B900EE">
              <w:rPr>
                <w:rFonts w:ascii="Times New Roman" w:eastAsia="Times New Roman" w:hAnsi="Times New Roman" w:cs="Times New Roman"/>
                <w:color w:val="000000"/>
                <w:kern w:val="0"/>
                <w:sz w:val="20"/>
                <w:szCs w:val="20"/>
                <w:lang w:eastAsia="en-GB"/>
                <w14:ligatures w14:val="none"/>
              </w:rPr>
              <w:t>=YEAR(</w:t>
            </w:r>
            <w:proofErr w:type="spellStart"/>
            <w:r w:rsidRPr="00B900EE">
              <w:rPr>
                <w:rFonts w:ascii="Times New Roman" w:eastAsia="Times New Roman" w:hAnsi="Times New Roman" w:cs="Times New Roman"/>
                <w:color w:val="000000"/>
                <w:kern w:val="0"/>
                <w:sz w:val="20"/>
                <w:szCs w:val="20"/>
                <w:lang w:eastAsia="en-GB"/>
                <w14:ligatures w14:val="none"/>
              </w:rPr>
              <w:t>Incident_Date</w:t>
            </w:r>
            <w:proofErr w:type="spellEnd"/>
            <w:r w:rsidRPr="00B900EE">
              <w:rPr>
                <w:rFonts w:ascii="Times New Roman" w:eastAsia="Times New Roman" w:hAnsi="Times New Roman" w:cs="Times New Roman"/>
                <w:color w:val="000000"/>
                <w:kern w:val="0"/>
                <w:sz w:val="20"/>
                <w:szCs w:val="20"/>
                <w:lang w:eastAsia="en-GB"/>
                <w14:ligatures w14:val="none"/>
              </w:rPr>
              <w:t xml:space="preserve">) - </w:t>
            </w:r>
            <w:proofErr w:type="spellStart"/>
            <w:r w:rsidRPr="00B900EE">
              <w:rPr>
                <w:rFonts w:ascii="Times New Roman" w:eastAsia="Times New Roman" w:hAnsi="Times New Roman" w:cs="Times New Roman"/>
                <w:color w:val="000000"/>
                <w:kern w:val="0"/>
                <w:sz w:val="20"/>
                <w:szCs w:val="20"/>
                <w:lang w:eastAsia="en-GB"/>
                <w14:ligatures w14:val="none"/>
              </w:rPr>
              <w:t>Auto_Year</w:t>
            </w:r>
            <w:proofErr w:type="spellEnd"/>
          </w:p>
        </w:tc>
      </w:tr>
      <w:tr w:rsidR="00B900EE" w:rsidRPr="00B900EE" w14:paraId="255A4699" w14:textId="77777777" w:rsidTr="00467FB5">
        <w:trPr>
          <w:tblCellSpacing w:w="15" w:type="dxa"/>
        </w:trPr>
        <w:tc>
          <w:tcPr>
            <w:tcW w:w="2502" w:type="dxa"/>
            <w:vAlign w:val="center"/>
            <w:hideMark/>
          </w:tcPr>
          <w:p w14:paraId="287C2417"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B900EE">
              <w:rPr>
                <w:rFonts w:ascii="Times New Roman" w:eastAsia="Times New Roman" w:hAnsi="Times New Roman" w:cs="Times New Roman"/>
                <w:b/>
                <w:bCs/>
                <w:color w:val="000000"/>
                <w:kern w:val="0"/>
                <w:sz w:val="20"/>
                <w:szCs w:val="20"/>
                <w:lang w:eastAsia="en-GB"/>
                <w14:ligatures w14:val="none"/>
              </w:rPr>
              <w:t>Tenure_Months</w:t>
            </w:r>
            <w:proofErr w:type="spellEnd"/>
          </w:p>
        </w:tc>
        <w:tc>
          <w:tcPr>
            <w:tcW w:w="6475" w:type="dxa"/>
            <w:vAlign w:val="center"/>
            <w:hideMark/>
          </w:tcPr>
          <w:p w14:paraId="3D815302" w14:textId="77777777" w:rsidR="00B900EE" w:rsidRPr="00B900EE" w:rsidRDefault="00B900EE" w:rsidP="00B900EE">
            <w:pPr>
              <w:spacing w:after="0" w:line="240" w:lineRule="auto"/>
              <w:rPr>
                <w:rFonts w:ascii="Times New Roman" w:eastAsia="Times New Roman" w:hAnsi="Times New Roman" w:cs="Times New Roman"/>
                <w:color w:val="000000"/>
                <w:kern w:val="0"/>
                <w:sz w:val="20"/>
                <w:szCs w:val="20"/>
                <w:lang w:eastAsia="en-GB"/>
                <w14:ligatures w14:val="none"/>
              </w:rPr>
            </w:pPr>
            <w:r w:rsidRPr="00B900EE">
              <w:rPr>
                <w:rFonts w:ascii="Times New Roman" w:eastAsia="Times New Roman" w:hAnsi="Times New Roman" w:cs="Times New Roman"/>
                <w:color w:val="000000"/>
                <w:kern w:val="0"/>
                <w:sz w:val="20"/>
                <w:szCs w:val="20"/>
                <w:lang w:eastAsia="en-GB"/>
                <w14:ligatures w14:val="none"/>
              </w:rPr>
              <w:t>=</w:t>
            </w:r>
            <w:proofErr w:type="spellStart"/>
            <w:r w:rsidRPr="00B900EE">
              <w:rPr>
                <w:rFonts w:ascii="Times New Roman" w:eastAsia="Times New Roman" w:hAnsi="Times New Roman" w:cs="Times New Roman"/>
                <w:color w:val="000000"/>
                <w:kern w:val="0"/>
                <w:sz w:val="20"/>
                <w:szCs w:val="20"/>
                <w:lang w:eastAsia="en-GB"/>
                <w14:ligatures w14:val="none"/>
              </w:rPr>
              <w:t>Months_As_Customer</w:t>
            </w:r>
            <w:proofErr w:type="spellEnd"/>
          </w:p>
        </w:tc>
      </w:tr>
      <w:tr w:rsidR="006D0DF1" w:rsidRPr="00272192" w14:paraId="1231BF27" w14:textId="77777777" w:rsidTr="00467FB5">
        <w:trPr>
          <w:tblCellSpacing w:w="15" w:type="dxa"/>
        </w:trPr>
        <w:tc>
          <w:tcPr>
            <w:tcW w:w="2502" w:type="dxa"/>
            <w:vAlign w:val="center"/>
          </w:tcPr>
          <w:p w14:paraId="624738E7" w14:textId="4BEB46FC" w:rsidR="006D0DF1" w:rsidRPr="00272192" w:rsidRDefault="006D0DF1" w:rsidP="00B900EE">
            <w:pPr>
              <w:spacing w:after="0" w:line="240" w:lineRule="auto"/>
              <w:rPr>
                <w:rFonts w:ascii="Times New Roman" w:eastAsia="Times New Roman" w:hAnsi="Times New Roman" w:cs="Times New Roman"/>
                <w:b/>
                <w:bCs/>
                <w:color w:val="000000"/>
                <w:kern w:val="0"/>
                <w:sz w:val="20"/>
                <w:szCs w:val="20"/>
                <w:lang w:eastAsia="en-GB"/>
                <w14:ligatures w14:val="none"/>
              </w:rPr>
            </w:pPr>
            <w:r w:rsidRPr="00272192">
              <w:rPr>
                <w:rFonts w:ascii="Times New Roman" w:eastAsia="Times New Roman" w:hAnsi="Times New Roman" w:cs="Times New Roman"/>
                <w:b/>
                <w:bCs/>
                <w:color w:val="000000"/>
                <w:kern w:val="0"/>
                <w:sz w:val="20"/>
                <w:szCs w:val="20"/>
                <w:lang w:eastAsia="en-GB"/>
                <w14:ligatures w14:val="none"/>
              </w:rPr>
              <w:t>Claim Ratio Band</w:t>
            </w:r>
          </w:p>
        </w:tc>
        <w:tc>
          <w:tcPr>
            <w:tcW w:w="6475" w:type="dxa"/>
            <w:vAlign w:val="center"/>
          </w:tcPr>
          <w:p w14:paraId="6368F365" w14:textId="499497AA" w:rsidR="006D0DF1" w:rsidRPr="00272192" w:rsidRDefault="006D0DF1" w:rsidP="006D0DF1">
            <w:pPr>
              <w:spacing w:after="0" w:line="240" w:lineRule="auto"/>
              <w:rPr>
                <w:rFonts w:ascii="Times New Roman" w:eastAsia="Times New Roman" w:hAnsi="Times New Roman" w:cs="Times New Roman"/>
                <w:color w:val="000000"/>
                <w:kern w:val="0"/>
                <w:sz w:val="20"/>
                <w:szCs w:val="20"/>
                <w:lang w:eastAsia="en-GB"/>
                <w14:ligatures w14:val="none"/>
              </w:rPr>
            </w:pPr>
            <w:r w:rsidRPr="00272192">
              <w:rPr>
                <w:rFonts w:ascii="Times New Roman" w:eastAsia="Times New Roman" w:hAnsi="Times New Roman" w:cs="Times New Roman"/>
                <w:color w:val="000000"/>
                <w:kern w:val="0"/>
                <w:sz w:val="20"/>
                <w:szCs w:val="20"/>
                <w:lang w:eastAsia="en-GB"/>
                <w14:ligatures w14:val="none"/>
              </w:rPr>
              <w:t>=IF(</w:t>
            </w:r>
            <w:r w:rsidRPr="00272192">
              <w:rPr>
                <w:rFonts w:ascii="Times New Roman" w:eastAsia="Times New Roman" w:hAnsi="Times New Roman" w:cs="Times New Roman"/>
                <w:color w:val="000000"/>
                <w:kern w:val="0"/>
                <w:sz w:val="20"/>
                <w:szCs w:val="20"/>
                <w:lang w:eastAsia="en-GB"/>
                <w14:ligatures w14:val="none"/>
              </w:rPr>
              <w:t>AN</w:t>
            </w:r>
            <w:r w:rsidRPr="00272192">
              <w:rPr>
                <w:rFonts w:ascii="Times New Roman" w:eastAsia="Times New Roman" w:hAnsi="Times New Roman" w:cs="Times New Roman"/>
                <w:color w:val="000000"/>
                <w:kern w:val="0"/>
                <w:sz w:val="20"/>
                <w:szCs w:val="20"/>
                <w:lang w:eastAsia="en-GB"/>
                <w14:ligatures w14:val="none"/>
              </w:rPr>
              <w:t>2&lt;5,"Low Claim Ratio",</w:t>
            </w:r>
            <w:r w:rsidR="00BF5D33" w:rsidRPr="00272192">
              <w:rPr>
                <w:rFonts w:ascii="Times New Roman" w:eastAsia="Times New Roman" w:hAnsi="Times New Roman" w:cs="Times New Roman"/>
                <w:color w:val="000000"/>
                <w:kern w:val="0"/>
                <w:sz w:val="20"/>
                <w:szCs w:val="20"/>
                <w:lang w:eastAsia="en-GB"/>
                <w14:ligatures w14:val="none"/>
              </w:rPr>
              <w:t xml:space="preserve"> </w:t>
            </w:r>
            <w:r w:rsidRPr="00272192">
              <w:rPr>
                <w:rFonts w:ascii="Times New Roman" w:eastAsia="Times New Roman" w:hAnsi="Times New Roman" w:cs="Times New Roman"/>
                <w:color w:val="000000"/>
                <w:kern w:val="0"/>
                <w:sz w:val="20"/>
                <w:szCs w:val="20"/>
                <w:lang w:eastAsia="en-GB"/>
                <w14:ligatures w14:val="none"/>
              </w:rPr>
              <w:t>IF(</w:t>
            </w:r>
            <w:r w:rsidRPr="00272192">
              <w:rPr>
                <w:rFonts w:ascii="Times New Roman" w:eastAsia="Times New Roman" w:hAnsi="Times New Roman" w:cs="Times New Roman"/>
                <w:color w:val="000000"/>
                <w:kern w:val="0"/>
                <w:sz w:val="20"/>
                <w:szCs w:val="20"/>
                <w:lang w:eastAsia="en-GB"/>
                <w14:ligatures w14:val="none"/>
              </w:rPr>
              <w:t>AN</w:t>
            </w:r>
            <w:r w:rsidRPr="00272192">
              <w:rPr>
                <w:rFonts w:ascii="Times New Roman" w:eastAsia="Times New Roman" w:hAnsi="Times New Roman" w:cs="Times New Roman"/>
                <w:color w:val="000000"/>
                <w:kern w:val="0"/>
                <w:sz w:val="20"/>
                <w:szCs w:val="20"/>
                <w:lang w:eastAsia="en-GB"/>
                <w14:ligatures w14:val="none"/>
              </w:rPr>
              <w:t>2&lt;20,"Medium Claim Ratio",</w:t>
            </w:r>
          </w:p>
          <w:p w14:paraId="615EF033" w14:textId="4C4E5C8E" w:rsidR="006D0DF1" w:rsidRPr="00272192" w:rsidRDefault="006D0DF1" w:rsidP="006D0DF1">
            <w:pPr>
              <w:spacing w:after="0" w:line="240" w:lineRule="auto"/>
              <w:rPr>
                <w:rFonts w:ascii="Times New Roman" w:eastAsia="Times New Roman" w:hAnsi="Times New Roman" w:cs="Times New Roman"/>
                <w:color w:val="000000"/>
                <w:kern w:val="0"/>
                <w:sz w:val="20"/>
                <w:szCs w:val="20"/>
                <w:lang w:eastAsia="en-GB"/>
                <w14:ligatures w14:val="none"/>
              </w:rPr>
            </w:pPr>
            <w:r w:rsidRPr="00272192">
              <w:rPr>
                <w:rFonts w:ascii="Times New Roman" w:eastAsia="Times New Roman" w:hAnsi="Times New Roman" w:cs="Times New Roman"/>
                <w:color w:val="000000"/>
                <w:kern w:val="0"/>
                <w:sz w:val="20"/>
                <w:szCs w:val="20"/>
                <w:lang w:eastAsia="en-GB"/>
                <w14:ligatures w14:val="none"/>
              </w:rPr>
              <w:t xml:space="preserve"> "High Claim Ratio"))</w:t>
            </w:r>
          </w:p>
        </w:tc>
      </w:tr>
      <w:tr w:rsidR="006D0DF1" w:rsidRPr="00272192" w14:paraId="6CC5F512" w14:textId="77777777" w:rsidTr="00467FB5">
        <w:trPr>
          <w:tblCellSpacing w:w="15" w:type="dxa"/>
        </w:trPr>
        <w:tc>
          <w:tcPr>
            <w:tcW w:w="2502" w:type="dxa"/>
            <w:vAlign w:val="center"/>
          </w:tcPr>
          <w:p w14:paraId="039F40DC" w14:textId="23F58EB8" w:rsidR="006D0DF1" w:rsidRPr="00272192" w:rsidRDefault="006D0DF1" w:rsidP="00B900EE">
            <w:pPr>
              <w:spacing w:after="0" w:line="240" w:lineRule="auto"/>
              <w:rPr>
                <w:rFonts w:ascii="Times New Roman" w:eastAsia="Times New Roman" w:hAnsi="Times New Roman" w:cs="Times New Roman"/>
                <w:b/>
                <w:bCs/>
                <w:color w:val="000000"/>
                <w:kern w:val="0"/>
                <w:sz w:val="20"/>
                <w:szCs w:val="20"/>
                <w:lang w:eastAsia="en-GB"/>
                <w14:ligatures w14:val="none"/>
              </w:rPr>
            </w:pPr>
            <w:r w:rsidRPr="00272192">
              <w:rPr>
                <w:rFonts w:ascii="Times New Roman" w:eastAsia="Times New Roman" w:hAnsi="Times New Roman" w:cs="Times New Roman"/>
                <w:b/>
                <w:bCs/>
                <w:color w:val="000000"/>
                <w:kern w:val="0"/>
                <w:sz w:val="20"/>
                <w:szCs w:val="20"/>
                <w:lang w:eastAsia="en-GB"/>
                <w14:ligatures w14:val="none"/>
              </w:rPr>
              <w:t>Profit Margin Band</w:t>
            </w:r>
          </w:p>
        </w:tc>
        <w:tc>
          <w:tcPr>
            <w:tcW w:w="6475" w:type="dxa"/>
            <w:vAlign w:val="center"/>
          </w:tcPr>
          <w:p w14:paraId="0F87EE19" w14:textId="4B6A8B09" w:rsidR="006D0DF1" w:rsidRPr="00272192" w:rsidRDefault="006D0DF1" w:rsidP="006D0DF1">
            <w:pPr>
              <w:spacing w:after="0" w:line="240" w:lineRule="auto"/>
              <w:rPr>
                <w:rFonts w:ascii="Times New Roman" w:eastAsia="Times New Roman" w:hAnsi="Times New Roman" w:cs="Times New Roman"/>
                <w:color w:val="000000"/>
                <w:kern w:val="0"/>
                <w:sz w:val="20"/>
                <w:szCs w:val="20"/>
                <w:lang w:eastAsia="en-GB"/>
                <w14:ligatures w14:val="none"/>
              </w:rPr>
            </w:pPr>
            <w:r w:rsidRPr="00272192">
              <w:rPr>
                <w:rFonts w:ascii="Times New Roman" w:eastAsia="Times New Roman" w:hAnsi="Times New Roman" w:cs="Times New Roman"/>
                <w:color w:val="000000"/>
                <w:kern w:val="0"/>
                <w:sz w:val="20"/>
                <w:szCs w:val="20"/>
                <w:lang w:eastAsia="en-GB"/>
                <w14:ligatures w14:val="none"/>
              </w:rPr>
              <w:t>=IF(</w:t>
            </w:r>
            <w:r w:rsidRPr="00272192">
              <w:rPr>
                <w:rFonts w:ascii="Times New Roman" w:eastAsia="Times New Roman" w:hAnsi="Times New Roman" w:cs="Times New Roman"/>
                <w:color w:val="EE0000"/>
                <w:kern w:val="0"/>
                <w:sz w:val="20"/>
                <w:szCs w:val="20"/>
                <w:lang w:eastAsia="en-GB"/>
                <w14:ligatures w14:val="none"/>
              </w:rPr>
              <w:t>-</w:t>
            </w:r>
            <w:r w:rsidRPr="00272192">
              <w:rPr>
                <w:rFonts w:ascii="Times New Roman" w:eastAsia="Times New Roman" w:hAnsi="Times New Roman" w:cs="Times New Roman"/>
                <w:color w:val="000000"/>
                <w:kern w:val="0"/>
                <w:sz w:val="20"/>
                <w:szCs w:val="20"/>
                <w:lang w:eastAsia="en-GB"/>
                <w14:ligatures w14:val="none"/>
              </w:rPr>
              <w:t>AO</w:t>
            </w:r>
            <w:r w:rsidRPr="00272192">
              <w:rPr>
                <w:rFonts w:ascii="Times New Roman" w:eastAsia="Times New Roman" w:hAnsi="Times New Roman" w:cs="Times New Roman"/>
                <w:color w:val="000000"/>
                <w:kern w:val="0"/>
                <w:sz w:val="20"/>
                <w:szCs w:val="20"/>
                <w:lang w:eastAsia="en-GB"/>
                <w14:ligatures w14:val="none"/>
              </w:rPr>
              <w:t>2&lt;0,"Loss Making", IF(</w:t>
            </w:r>
            <w:r w:rsidRPr="00272192">
              <w:rPr>
                <w:rFonts w:ascii="Times New Roman" w:eastAsia="Times New Roman" w:hAnsi="Times New Roman" w:cs="Times New Roman"/>
                <w:color w:val="EE0000"/>
                <w:kern w:val="0"/>
                <w:sz w:val="20"/>
                <w:szCs w:val="20"/>
                <w:lang w:eastAsia="en-GB"/>
                <w14:ligatures w14:val="none"/>
              </w:rPr>
              <w:t>-</w:t>
            </w:r>
            <w:r w:rsidRPr="00272192">
              <w:rPr>
                <w:rFonts w:ascii="Times New Roman" w:eastAsia="Times New Roman" w:hAnsi="Times New Roman" w:cs="Times New Roman"/>
                <w:color w:val="000000"/>
                <w:kern w:val="0"/>
                <w:sz w:val="20"/>
                <w:szCs w:val="20"/>
                <w:lang w:eastAsia="en-GB"/>
                <w14:ligatures w14:val="none"/>
              </w:rPr>
              <w:t>AO</w:t>
            </w:r>
            <w:r w:rsidRPr="00272192">
              <w:rPr>
                <w:rFonts w:ascii="Times New Roman" w:eastAsia="Times New Roman" w:hAnsi="Times New Roman" w:cs="Times New Roman"/>
                <w:color w:val="000000"/>
                <w:kern w:val="0"/>
                <w:sz w:val="20"/>
                <w:szCs w:val="20"/>
                <w:lang w:eastAsia="en-GB"/>
                <w14:ligatures w14:val="none"/>
              </w:rPr>
              <w:t>2&lt;5000,"Low Profit", "High Profit"))</w:t>
            </w:r>
          </w:p>
        </w:tc>
      </w:tr>
    </w:tbl>
    <w:p w14:paraId="42526018" w14:textId="39AED7B5" w:rsidR="007A2AA8" w:rsidRPr="007A2AA8" w:rsidRDefault="007A2AA8" w:rsidP="007A2AA8">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lang w:eastAsia="en-GB"/>
          <w14:ligatures w14:val="none"/>
        </w:rPr>
      </w:pPr>
      <w:r w:rsidRPr="007A2AA8">
        <w:rPr>
          <w:rFonts w:ascii="Times New Roman" w:eastAsia="Times New Roman" w:hAnsi="Times New Roman" w:cs="Times New Roman"/>
          <w:b/>
          <w:bCs/>
          <w:color w:val="000000"/>
          <w:kern w:val="0"/>
          <w:sz w:val="20"/>
          <w:szCs w:val="20"/>
          <w:lang w:eastAsia="en-GB"/>
          <w14:ligatures w14:val="none"/>
        </w:rPr>
        <w:t>What This Will Mean in Business Language</w:t>
      </w:r>
      <w:r w:rsidR="00A51D08" w:rsidRPr="00272192">
        <w:rPr>
          <w:rFonts w:ascii="Times New Roman" w:eastAsia="Times New Roman" w:hAnsi="Times New Roman" w:cs="Times New Roman"/>
          <w:b/>
          <w:bCs/>
          <w:color w:val="000000"/>
          <w:kern w:val="0"/>
          <w:sz w:val="20"/>
          <w:szCs w:val="20"/>
          <w:lang w:eastAsia="en-GB"/>
          <w14:ligatures w14:val="none"/>
        </w:rPr>
        <w:t>:</w:t>
      </w:r>
    </w:p>
    <w:p w14:paraId="6D3D49A4" w14:textId="3516765F" w:rsidR="007A2AA8" w:rsidRPr="007A2AA8" w:rsidRDefault="007A2AA8" w:rsidP="007A2AA8">
      <w:p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7A2AA8">
        <w:rPr>
          <w:rFonts w:ascii="Times New Roman" w:eastAsia="Times New Roman" w:hAnsi="Times New Roman" w:cs="Times New Roman"/>
          <w:color w:val="000000"/>
          <w:kern w:val="0"/>
          <w:sz w:val="20"/>
          <w:szCs w:val="20"/>
          <w:lang w:eastAsia="en-GB"/>
          <w14:ligatures w14:val="none"/>
        </w:rPr>
        <w:t>After banding</w:t>
      </w:r>
      <w:r w:rsidR="00D72AD2" w:rsidRPr="00272192">
        <w:rPr>
          <w:rStyle w:val="FootnoteReference"/>
          <w:rFonts w:ascii="Times New Roman" w:eastAsia="Times New Roman" w:hAnsi="Times New Roman" w:cs="Times New Roman"/>
          <w:color w:val="000000"/>
          <w:kern w:val="0"/>
          <w:sz w:val="20"/>
          <w:szCs w:val="20"/>
          <w:lang w:eastAsia="en-GB"/>
          <w14:ligatures w14:val="none"/>
        </w:rPr>
        <w:footnoteReference w:id="1"/>
      </w:r>
      <w:r w:rsidRPr="007A2AA8">
        <w:rPr>
          <w:rFonts w:ascii="Times New Roman" w:eastAsia="Times New Roman" w:hAnsi="Times New Roman" w:cs="Times New Roman"/>
          <w:color w:val="000000"/>
          <w:kern w:val="0"/>
          <w:sz w:val="20"/>
          <w:szCs w:val="20"/>
          <w:lang w:eastAsia="en-GB"/>
          <w14:ligatures w14:val="none"/>
        </w:rPr>
        <w:t>, you can clearly say:</w:t>
      </w:r>
    </w:p>
    <w:p w14:paraId="633EF902" w14:textId="45E41827" w:rsidR="007A2AA8" w:rsidRPr="007A2AA8" w:rsidRDefault="007A2AA8" w:rsidP="007A2AA8">
      <w:pPr>
        <w:numPr>
          <w:ilvl w:val="0"/>
          <w:numId w:val="3"/>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7A2AA8">
        <w:rPr>
          <w:rFonts w:ascii="Times New Roman" w:eastAsia="Times New Roman" w:hAnsi="Times New Roman" w:cs="Times New Roman"/>
          <w:b/>
          <w:bCs/>
          <w:color w:val="000000"/>
          <w:kern w:val="0"/>
          <w:sz w:val="20"/>
          <w:szCs w:val="20"/>
          <w:lang w:eastAsia="en-GB"/>
          <w14:ligatures w14:val="none"/>
        </w:rPr>
        <w:t>Low Claim + High Profit</w:t>
      </w:r>
      <w:r w:rsidRPr="007A2AA8">
        <w:rPr>
          <w:rFonts w:ascii="Times New Roman" w:eastAsia="Times New Roman" w:hAnsi="Times New Roman" w:cs="Times New Roman"/>
          <w:color w:val="000000"/>
          <w:kern w:val="0"/>
          <w:sz w:val="20"/>
          <w:szCs w:val="20"/>
          <w:lang w:eastAsia="en-GB"/>
          <w14:ligatures w14:val="none"/>
        </w:rPr>
        <w:t> → Retain, give loyalty discounts</w:t>
      </w:r>
      <w:r w:rsidR="00A51D08" w:rsidRPr="00272192">
        <w:rPr>
          <w:rFonts w:ascii="Times New Roman" w:eastAsia="Times New Roman" w:hAnsi="Times New Roman" w:cs="Times New Roman"/>
          <w:color w:val="000000"/>
          <w:kern w:val="0"/>
          <w:sz w:val="20"/>
          <w:szCs w:val="20"/>
          <w:lang w:eastAsia="en-GB"/>
          <w14:ligatures w14:val="none"/>
        </w:rPr>
        <w:t xml:space="preserve">, </w:t>
      </w:r>
      <w:r w:rsidR="00DB0B79" w:rsidRPr="00272192">
        <w:rPr>
          <w:rFonts w:ascii="Times New Roman" w:eastAsia="Times New Roman" w:hAnsi="Times New Roman" w:cs="Times New Roman"/>
          <w:color w:val="000000"/>
          <w:kern w:val="0"/>
          <w:sz w:val="20"/>
          <w:szCs w:val="20"/>
          <w:lang w:eastAsia="en-GB"/>
          <w14:ligatures w14:val="none"/>
        </w:rPr>
        <w:t>-</w:t>
      </w:r>
      <w:r w:rsidR="00A51D08" w:rsidRPr="00272192">
        <w:rPr>
          <w:rFonts w:ascii="Times New Roman" w:eastAsia="Times New Roman" w:hAnsi="Times New Roman" w:cs="Times New Roman"/>
          <w:color w:val="000000"/>
          <w:kern w:val="0"/>
          <w:sz w:val="20"/>
          <w:szCs w:val="20"/>
          <w:lang w:eastAsia="en-GB"/>
          <w14:ligatures w14:val="none"/>
        </w:rPr>
        <w:t>5</w:t>
      </w:r>
      <w:r w:rsidR="00DB0B79" w:rsidRPr="00272192">
        <w:rPr>
          <w:rFonts w:ascii="Times New Roman" w:eastAsia="Times New Roman" w:hAnsi="Times New Roman" w:cs="Times New Roman"/>
          <w:color w:val="000000"/>
          <w:kern w:val="0"/>
          <w:sz w:val="20"/>
          <w:szCs w:val="20"/>
          <w:lang w:eastAsia="en-GB"/>
          <w14:ligatures w14:val="none"/>
        </w:rPr>
        <w:t xml:space="preserve"> to -8</w:t>
      </w:r>
      <w:r w:rsidR="00A51D08" w:rsidRPr="00272192">
        <w:rPr>
          <w:rFonts w:ascii="Times New Roman" w:eastAsia="Times New Roman" w:hAnsi="Times New Roman" w:cs="Times New Roman"/>
          <w:color w:val="000000"/>
          <w:kern w:val="0"/>
          <w:sz w:val="20"/>
          <w:szCs w:val="20"/>
          <w:lang w:eastAsia="en-GB"/>
          <w14:ligatures w14:val="none"/>
        </w:rPr>
        <w:t>%</w:t>
      </w:r>
    </w:p>
    <w:p w14:paraId="01E3B93E" w14:textId="56A78419" w:rsidR="007A2AA8" w:rsidRPr="007A2AA8" w:rsidRDefault="007A2AA8" w:rsidP="007A2AA8">
      <w:pPr>
        <w:numPr>
          <w:ilvl w:val="0"/>
          <w:numId w:val="3"/>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7A2AA8">
        <w:rPr>
          <w:rFonts w:ascii="Times New Roman" w:eastAsia="Times New Roman" w:hAnsi="Times New Roman" w:cs="Times New Roman"/>
          <w:b/>
          <w:bCs/>
          <w:color w:val="000000"/>
          <w:kern w:val="0"/>
          <w:sz w:val="20"/>
          <w:szCs w:val="20"/>
          <w:lang w:eastAsia="en-GB"/>
          <w14:ligatures w14:val="none"/>
        </w:rPr>
        <w:t>High Claim + Loss Making</w:t>
      </w:r>
      <w:r w:rsidRPr="007A2AA8">
        <w:rPr>
          <w:rFonts w:ascii="Times New Roman" w:eastAsia="Times New Roman" w:hAnsi="Times New Roman" w:cs="Times New Roman"/>
          <w:color w:val="000000"/>
          <w:kern w:val="0"/>
          <w:sz w:val="20"/>
          <w:szCs w:val="20"/>
          <w:lang w:eastAsia="en-GB"/>
          <w14:ligatures w14:val="none"/>
        </w:rPr>
        <w:t> → Reprice aggressively or exit</w:t>
      </w:r>
      <w:r w:rsidR="00A51D08" w:rsidRPr="00272192">
        <w:rPr>
          <w:rFonts w:ascii="Times New Roman" w:eastAsia="Times New Roman" w:hAnsi="Times New Roman" w:cs="Times New Roman"/>
          <w:color w:val="000000"/>
          <w:kern w:val="0"/>
          <w:sz w:val="20"/>
          <w:szCs w:val="20"/>
          <w:lang w:eastAsia="en-GB"/>
          <w14:ligatures w14:val="none"/>
        </w:rPr>
        <w:t xml:space="preserve">, </w:t>
      </w:r>
      <w:r w:rsidR="00DB0B79" w:rsidRPr="00272192">
        <w:rPr>
          <w:rFonts w:ascii="Times New Roman" w:eastAsia="Times New Roman" w:hAnsi="Times New Roman" w:cs="Times New Roman"/>
          <w:color w:val="000000"/>
          <w:kern w:val="0"/>
          <w:sz w:val="20"/>
          <w:szCs w:val="20"/>
          <w:lang w:eastAsia="en-GB"/>
          <w14:ligatures w14:val="none"/>
        </w:rPr>
        <w:t>+10 to +</w:t>
      </w:r>
      <w:r w:rsidR="00A51D08" w:rsidRPr="00272192">
        <w:rPr>
          <w:rFonts w:ascii="Times New Roman" w:eastAsia="Times New Roman" w:hAnsi="Times New Roman" w:cs="Times New Roman"/>
          <w:color w:val="000000"/>
          <w:kern w:val="0"/>
          <w:sz w:val="20"/>
          <w:szCs w:val="20"/>
          <w:lang w:eastAsia="en-GB"/>
          <w14:ligatures w14:val="none"/>
        </w:rPr>
        <w:t>15%</w:t>
      </w:r>
    </w:p>
    <w:p w14:paraId="18462823" w14:textId="2751D1EB" w:rsidR="007A2AA8" w:rsidRPr="00272192" w:rsidRDefault="007A2AA8" w:rsidP="007A2AA8">
      <w:pPr>
        <w:numPr>
          <w:ilvl w:val="0"/>
          <w:numId w:val="3"/>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7A2AA8">
        <w:rPr>
          <w:rFonts w:ascii="Times New Roman" w:eastAsia="Times New Roman" w:hAnsi="Times New Roman" w:cs="Times New Roman"/>
          <w:b/>
          <w:bCs/>
          <w:color w:val="000000"/>
          <w:kern w:val="0"/>
          <w:sz w:val="20"/>
          <w:szCs w:val="20"/>
          <w:lang w:eastAsia="en-GB"/>
          <w14:ligatures w14:val="none"/>
        </w:rPr>
        <w:t>Medium Claim + Low Profit</w:t>
      </w:r>
      <w:r w:rsidRPr="007A2AA8">
        <w:rPr>
          <w:rFonts w:ascii="Times New Roman" w:eastAsia="Times New Roman" w:hAnsi="Times New Roman" w:cs="Times New Roman"/>
          <w:color w:val="000000"/>
          <w:kern w:val="0"/>
          <w:sz w:val="20"/>
          <w:szCs w:val="20"/>
          <w:lang w:eastAsia="en-GB"/>
          <w14:ligatures w14:val="none"/>
        </w:rPr>
        <w:t> → Monitor and adjust selectively</w:t>
      </w:r>
      <w:r w:rsidR="00A51D08" w:rsidRPr="00272192">
        <w:rPr>
          <w:rFonts w:ascii="Times New Roman" w:eastAsia="Times New Roman" w:hAnsi="Times New Roman" w:cs="Times New Roman"/>
          <w:color w:val="000000"/>
          <w:kern w:val="0"/>
          <w:sz w:val="20"/>
          <w:szCs w:val="20"/>
          <w:lang w:eastAsia="en-GB"/>
          <w14:ligatures w14:val="none"/>
        </w:rPr>
        <w:t>, 0%</w:t>
      </w:r>
    </w:p>
    <w:p w14:paraId="63B07A0D" w14:textId="1E748E3C" w:rsidR="007A2AA8" w:rsidRPr="00272192" w:rsidRDefault="00DB0B79" w:rsidP="00D72AD2">
      <w:pPr>
        <w:numPr>
          <w:ilvl w:val="0"/>
          <w:numId w:val="3"/>
        </w:numPr>
        <w:spacing w:before="100" w:beforeAutospacing="1" w:after="100" w:afterAutospacing="1" w:line="240" w:lineRule="auto"/>
        <w:rPr>
          <w:rFonts w:ascii="Times New Roman" w:eastAsia="Times New Roman" w:hAnsi="Times New Roman" w:cs="Times New Roman"/>
          <w:color w:val="000000"/>
          <w:kern w:val="0"/>
          <w:sz w:val="20"/>
          <w:szCs w:val="20"/>
          <w:lang w:eastAsia="en-GB"/>
          <w14:ligatures w14:val="none"/>
        </w:rPr>
      </w:pPr>
      <w:r w:rsidRPr="00272192">
        <w:rPr>
          <w:rFonts w:ascii="Times New Roman" w:eastAsia="Times New Roman" w:hAnsi="Times New Roman" w:cs="Times New Roman"/>
          <w:b/>
          <w:bCs/>
          <w:color w:val="000000"/>
          <w:kern w:val="0"/>
          <w:sz w:val="20"/>
          <w:szCs w:val="20"/>
          <w:lang w:eastAsia="en-GB"/>
          <w14:ligatures w14:val="none"/>
        </w:rPr>
        <w:t xml:space="preserve">Low Claim Ratio + Loss Making </w:t>
      </w:r>
      <w:r w:rsidRPr="007A2AA8">
        <w:rPr>
          <w:rFonts w:ascii="Times New Roman" w:eastAsia="Times New Roman" w:hAnsi="Times New Roman" w:cs="Times New Roman"/>
          <w:color w:val="000000"/>
          <w:kern w:val="0"/>
          <w:sz w:val="20"/>
          <w:szCs w:val="20"/>
          <w:lang w:eastAsia="en-GB"/>
          <w14:ligatures w14:val="none"/>
        </w:rPr>
        <w:t>→</w:t>
      </w:r>
      <w:r w:rsidRPr="00272192">
        <w:rPr>
          <w:rFonts w:ascii="Times New Roman" w:eastAsia="Times New Roman" w:hAnsi="Times New Roman" w:cs="Times New Roman"/>
          <w:color w:val="000000"/>
          <w:kern w:val="0"/>
          <w:sz w:val="20"/>
          <w:szCs w:val="20"/>
          <w:lang w:eastAsia="en-GB"/>
          <w14:ligatures w14:val="none"/>
        </w:rPr>
        <w:t xml:space="preserve"> Immediate review</w:t>
      </w:r>
      <w:r w:rsidR="008B1D71" w:rsidRPr="00272192">
        <w:rPr>
          <w:rFonts w:ascii="Times New Roman" w:eastAsia="Times New Roman" w:hAnsi="Times New Roman" w:cs="Times New Roman"/>
          <w:color w:val="000000"/>
          <w:kern w:val="0"/>
          <w:sz w:val="20"/>
          <w:szCs w:val="20"/>
          <w:lang w:eastAsia="en-GB"/>
          <w14:ligatures w14:val="none"/>
        </w:rPr>
        <w:t xml:space="preserve"> or </w:t>
      </w:r>
      <w:r w:rsidR="008B1D71" w:rsidRPr="004B4BE3">
        <w:rPr>
          <w:rFonts w:ascii="Times New Roman" w:eastAsia="Times New Roman" w:hAnsi="Times New Roman" w:cs="Times New Roman"/>
          <w:color w:val="EE0000"/>
          <w:kern w:val="0"/>
          <w:sz w:val="20"/>
          <w:szCs w:val="20"/>
          <w:lang w:eastAsia="en-GB"/>
          <w14:ligatures w14:val="none"/>
        </w:rPr>
        <w:t xml:space="preserve">non-renew, </w:t>
      </w:r>
      <w:r w:rsidRPr="00272192">
        <w:rPr>
          <w:rFonts w:ascii="Times New Roman" w:eastAsia="Times New Roman" w:hAnsi="Times New Roman" w:cs="Times New Roman"/>
          <w:color w:val="000000"/>
          <w:kern w:val="0"/>
          <w:sz w:val="20"/>
          <w:szCs w:val="20"/>
          <w:lang w:eastAsia="en-GB"/>
          <w14:ligatures w14:val="none"/>
        </w:rPr>
        <w:t>+</w:t>
      </w:r>
      <w:r w:rsidR="008B1D71" w:rsidRPr="00272192">
        <w:rPr>
          <w:rFonts w:ascii="Times New Roman" w:eastAsia="Times New Roman" w:hAnsi="Times New Roman" w:cs="Times New Roman"/>
          <w:color w:val="000000"/>
          <w:kern w:val="0"/>
          <w:sz w:val="20"/>
          <w:szCs w:val="20"/>
          <w:lang w:eastAsia="en-GB"/>
          <w14:ligatures w14:val="none"/>
        </w:rPr>
        <w:t>20%</w:t>
      </w:r>
    </w:p>
    <w:tbl>
      <w:tblPr>
        <w:tblStyle w:val="TableGrid"/>
        <w:tblW w:w="0" w:type="auto"/>
        <w:tblLook w:val="04A0" w:firstRow="1" w:lastRow="0" w:firstColumn="1" w:lastColumn="0" w:noHBand="0" w:noVBand="1"/>
      </w:tblPr>
      <w:tblGrid>
        <w:gridCol w:w="1413"/>
        <w:gridCol w:w="1843"/>
        <w:gridCol w:w="1701"/>
        <w:gridCol w:w="2126"/>
        <w:gridCol w:w="1933"/>
      </w:tblGrid>
      <w:tr w:rsidR="00821D65" w:rsidRPr="00272192" w14:paraId="1027773A" w14:textId="77777777" w:rsidTr="006C020B">
        <w:trPr>
          <w:trHeight w:val="320"/>
        </w:trPr>
        <w:tc>
          <w:tcPr>
            <w:tcW w:w="9016" w:type="dxa"/>
            <w:gridSpan w:val="5"/>
            <w:noWrap/>
            <w:hideMark/>
          </w:tcPr>
          <w:p w14:paraId="2816DCF5" w14:textId="29E02113" w:rsidR="00821D65" w:rsidRPr="00272192" w:rsidRDefault="00821D65" w:rsidP="00821D65">
            <w:pPr>
              <w:jc w:val="center"/>
              <w:rPr>
                <w:rFonts w:ascii="Times New Roman" w:hAnsi="Times New Roman" w:cs="Times New Roman"/>
                <w:sz w:val="20"/>
                <w:szCs w:val="20"/>
              </w:rPr>
            </w:pPr>
            <w:r w:rsidRPr="00272192">
              <w:rPr>
                <w:rFonts w:ascii="Times New Roman" w:hAnsi="Times New Roman" w:cs="Times New Roman"/>
                <w:b/>
                <w:bCs/>
                <w:sz w:val="20"/>
                <w:szCs w:val="20"/>
              </w:rPr>
              <w:t xml:space="preserve">Count of </w:t>
            </w:r>
            <w:proofErr w:type="spellStart"/>
            <w:r w:rsidRPr="00272192">
              <w:rPr>
                <w:rFonts w:ascii="Times New Roman" w:hAnsi="Times New Roman" w:cs="Times New Roman"/>
                <w:b/>
                <w:bCs/>
                <w:sz w:val="20"/>
                <w:szCs w:val="20"/>
              </w:rPr>
              <w:t>policy_number</w:t>
            </w:r>
            <w:proofErr w:type="spellEnd"/>
          </w:p>
        </w:tc>
      </w:tr>
      <w:tr w:rsidR="00BF5D33" w:rsidRPr="00272192" w14:paraId="42416DC1" w14:textId="77777777" w:rsidTr="00BF5D33">
        <w:trPr>
          <w:trHeight w:val="320"/>
        </w:trPr>
        <w:tc>
          <w:tcPr>
            <w:tcW w:w="1413" w:type="dxa"/>
            <w:noWrap/>
            <w:hideMark/>
          </w:tcPr>
          <w:p w14:paraId="5515A5D7"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Row Labels</w:t>
            </w:r>
          </w:p>
        </w:tc>
        <w:tc>
          <w:tcPr>
            <w:tcW w:w="1843" w:type="dxa"/>
            <w:noWrap/>
            <w:hideMark/>
          </w:tcPr>
          <w:p w14:paraId="3A8804AB"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High Claim Ratio</w:t>
            </w:r>
          </w:p>
        </w:tc>
        <w:tc>
          <w:tcPr>
            <w:tcW w:w="1701" w:type="dxa"/>
            <w:noWrap/>
            <w:hideMark/>
          </w:tcPr>
          <w:p w14:paraId="0F27EC9D"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Low Claim Ratio</w:t>
            </w:r>
          </w:p>
        </w:tc>
        <w:tc>
          <w:tcPr>
            <w:tcW w:w="2126" w:type="dxa"/>
            <w:noWrap/>
            <w:hideMark/>
          </w:tcPr>
          <w:p w14:paraId="09AD0A5F"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Medium Claim Ratio</w:t>
            </w:r>
          </w:p>
        </w:tc>
        <w:tc>
          <w:tcPr>
            <w:tcW w:w="1933" w:type="dxa"/>
            <w:noWrap/>
            <w:hideMark/>
          </w:tcPr>
          <w:p w14:paraId="4E738EFD"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Grand Total</w:t>
            </w:r>
          </w:p>
        </w:tc>
      </w:tr>
      <w:tr w:rsidR="00BF5D33" w:rsidRPr="00272192" w14:paraId="3C85353C" w14:textId="77777777" w:rsidTr="00BF5D33">
        <w:trPr>
          <w:trHeight w:val="320"/>
        </w:trPr>
        <w:tc>
          <w:tcPr>
            <w:tcW w:w="1413" w:type="dxa"/>
            <w:noWrap/>
            <w:hideMark/>
          </w:tcPr>
          <w:p w14:paraId="631C69E4"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High Profit</w:t>
            </w:r>
          </w:p>
        </w:tc>
        <w:tc>
          <w:tcPr>
            <w:tcW w:w="1843" w:type="dxa"/>
            <w:noWrap/>
            <w:hideMark/>
          </w:tcPr>
          <w:p w14:paraId="5417356E"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814</w:t>
            </w:r>
          </w:p>
        </w:tc>
        <w:tc>
          <w:tcPr>
            <w:tcW w:w="1701" w:type="dxa"/>
            <w:noWrap/>
            <w:hideMark/>
          </w:tcPr>
          <w:p w14:paraId="1969A27E"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12</w:t>
            </w:r>
          </w:p>
        </w:tc>
        <w:tc>
          <w:tcPr>
            <w:tcW w:w="2126" w:type="dxa"/>
            <w:noWrap/>
            <w:hideMark/>
          </w:tcPr>
          <w:p w14:paraId="048B73F9"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51</w:t>
            </w:r>
          </w:p>
        </w:tc>
        <w:tc>
          <w:tcPr>
            <w:tcW w:w="1933" w:type="dxa"/>
            <w:noWrap/>
            <w:hideMark/>
          </w:tcPr>
          <w:p w14:paraId="74ECD3C5"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877</w:t>
            </w:r>
          </w:p>
        </w:tc>
      </w:tr>
      <w:tr w:rsidR="00BF5D33" w:rsidRPr="00272192" w14:paraId="5BB64903" w14:textId="77777777" w:rsidTr="00BF5D33">
        <w:trPr>
          <w:trHeight w:val="320"/>
        </w:trPr>
        <w:tc>
          <w:tcPr>
            <w:tcW w:w="1413" w:type="dxa"/>
            <w:noWrap/>
            <w:hideMark/>
          </w:tcPr>
          <w:p w14:paraId="5D58249F"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Loss Making</w:t>
            </w:r>
          </w:p>
        </w:tc>
        <w:tc>
          <w:tcPr>
            <w:tcW w:w="1843" w:type="dxa"/>
            <w:noWrap/>
            <w:hideMark/>
          </w:tcPr>
          <w:p w14:paraId="1981E232" w14:textId="638FA933" w:rsidR="00BF5D33" w:rsidRPr="00272192" w:rsidRDefault="00DB0B79" w:rsidP="00BF5D33">
            <w:pPr>
              <w:rPr>
                <w:rFonts w:ascii="Times New Roman" w:hAnsi="Times New Roman" w:cs="Times New Roman"/>
                <w:sz w:val="20"/>
                <w:szCs w:val="20"/>
              </w:rPr>
            </w:pPr>
            <w:r w:rsidRPr="00272192">
              <w:rPr>
                <w:rFonts w:ascii="Times New Roman" w:hAnsi="Times New Roman" w:cs="Times New Roman"/>
                <w:sz w:val="20"/>
                <w:szCs w:val="20"/>
              </w:rPr>
              <w:t>0</w:t>
            </w:r>
          </w:p>
        </w:tc>
        <w:tc>
          <w:tcPr>
            <w:tcW w:w="1701" w:type="dxa"/>
            <w:noWrap/>
            <w:hideMark/>
          </w:tcPr>
          <w:p w14:paraId="26CF6A5D"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color w:val="EE0000"/>
                <w:sz w:val="20"/>
                <w:szCs w:val="20"/>
              </w:rPr>
              <w:t>1</w:t>
            </w:r>
          </w:p>
        </w:tc>
        <w:tc>
          <w:tcPr>
            <w:tcW w:w="2126" w:type="dxa"/>
            <w:noWrap/>
            <w:hideMark/>
          </w:tcPr>
          <w:p w14:paraId="7E302F39" w14:textId="53DC04C1" w:rsidR="00BF5D33" w:rsidRPr="00272192" w:rsidRDefault="00DB0B79" w:rsidP="00BF5D33">
            <w:pPr>
              <w:rPr>
                <w:rFonts w:ascii="Times New Roman" w:hAnsi="Times New Roman" w:cs="Times New Roman"/>
                <w:sz w:val="20"/>
                <w:szCs w:val="20"/>
              </w:rPr>
            </w:pPr>
            <w:r w:rsidRPr="00272192">
              <w:rPr>
                <w:rFonts w:ascii="Times New Roman" w:hAnsi="Times New Roman" w:cs="Times New Roman"/>
                <w:sz w:val="20"/>
                <w:szCs w:val="20"/>
              </w:rPr>
              <w:t>0</w:t>
            </w:r>
          </w:p>
        </w:tc>
        <w:tc>
          <w:tcPr>
            <w:tcW w:w="1933" w:type="dxa"/>
            <w:noWrap/>
            <w:hideMark/>
          </w:tcPr>
          <w:p w14:paraId="19909BD0"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1</w:t>
            </w:r>
          </w:p>
        </w:tc>
      </w:tr>
      <w:tr w:rsidR="00BF5D33" w:rsidRPr="00272192" w14:paraId="0FF8AFED" w14:textId="77777777" w:rsidTr="00BF5D33">
        <w:trPr>
          <w:trHeight w:val="320"/>
        </w:trPr>
        <w:tc>
          <w:tcPr>
            <w:tcW w:w="1413" w:type="dxa"/>
            <w:noWrap/>
            <w:hideMark/>
          </w:tcPr>
          <w:p w14:paraId="7B1BD8BE"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Low Profit</w:t>
            </w:r>
          </w:p>
        </w:tc>
        <w:tc>
          <w:tcPr>
            <w:tcW w:w="1843" w:type="dxa"/>
            <w:noWrap/>
            <w:hideMark/>
          </w:tcPr>
          <w:p w14:paraId="7656FD5C" w14:textId="195B0503" w:rsidR="00BF5D33" w:rsidRPr="00272192" w:rsidRDefault="00DB0B79" w:rsidP="00BF5D33">
            <w:pPr>
              <w:rPr>
                <w:rFonts w:ascii="Times New Roman" w:hAnsi="Times New Roman" w:cs="Times New Roman"/>
                <w:sz w:val="20"/>
                <w:szCs w:val="20"/>
              </w:rPr>
            </w:pPr>
            <w:r w:rsidRPr="00272192">
              <w:rPr>
                <w:rFonts w:ascii="Times New Roman" w:hAnsi="Times New Roman" w:cs="Times New Roman"/>
                <w:sz w:val="20"/>
                <w:szCs w:val="20"/>
              </w:rPr>
              <w:t>0</w:t>
            </w:r>
          </w:p>
        </w:tc>
        <w:tc>
          <w:tcPr>
            <w:tcW w:w="1701" w:type="dxa"/>
            <w:noWrap/>
            <w:hideMark/>
          </w:tcPr>
          <w:p w14:paraId="0242BADF"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107</w:t>
            </w:r>
          </w:p>
        </w:tc>
        <w:tc>
          <w:tcPr>
            <w:tcW w:w="2126" w:type="dxa"/>
            <w:noWrap/>
            <w:hideMark/>
          </w:tcPr>
          <w:p w14:paraId="5507A7A5"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15</w:t>
            </w:r>
          </w:p>
        </w:tc>
        <w:tc>
          <w:tcPr>
            <w:tcW w:w="1933" w:type="dxa"/>
            <w:noWrap/>
            <w:hideMark/>
          </w:tcPr>
          <w:p w14:paraId="21B74C59" w14:textId="77777777" w:rsidR="00BF5D33" w:rsidRPr="00272192" w:rsidRDefault="00BF5D33" w:rsidP="00BF5D33">
            <w:pPr>
              <w:rPr>
                <w:rFonts w:ascii="Times New Roman" w:hAnsi="Times New Roman" w:cs="Times New Roman"/>
                <w:sz w:val="20"/>
                <w:szCs w:val="20"/>
              </w:rPr>
            </w:pPr>
            <w:r w:rsidRPr="00272192">
              <w:rPr>
                <w:rFonts w:ascii="Times New Roman" w:hAnsi="Times New Roman" w:cs="Times New Roman"/>
                <w:sz w:val="20"/>
                <w:szCs w:val="20"/>
              </w:rPr>
              <w:t>122</w:t>
            </w:r>
          </w:p>
        </w:tc>
      </w:tr>
      <w:tr w:rsidR="00BF5D33" w:rsidRPr="00272192" w14:paraId="424FD551" w14:textId="77777777" w:rsidTr="00BF5D33">
        <w:trPr>
          <w:trHeight w:val="320"/>
        </w:trPr>
        <w:tc>
          <w:tcPr>
            <w:tcW w:w="1413" w:type="dxa"/>
            <w:noWrap/>
            <w:hideMark/>
          </w:tcPr>
          <w:p w14:paraId="5281D669"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Grand Total</w:t>
            </w:r>
          </w:p>
        </w:tc>
        <w:tc>
          <w:tcPr>
            <w:tcW w:w="1843" w:type="dxa"/>
            <w:noWrap/>
            <w:hideMark/>
          </w:tcPr>
          <w:p w14:paraId="5A0B66A4"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814</w:t>
            </w:r>
          </w:p>
        </w:tc>
        <w:tc>
          <w:tcPr>
            <w:tcW w:w="1701" w:type="dxa"/>
            <w:noWrap/>
            <w:hideMark/>
          </w:tcPr>
          <w:p w14:paraId="026D7C05"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120</w:t>
            </w:r>
          </w:p>
        </w:tc>
        <w:tc>
          <w:tcPr>
            <w:tcW w:w="2126" w:type="dxa"/>
            <w:noWrap/>
            <w:hideMark/>
          </w:tcPr>
          <w:p w14:paraId="3D3B8882"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66</w:t>
            </w:r>
          </w:p>
        </w:tc>
        <w:tc>
          <w:tcPr>
            <w:tcW w:w="1933" w:type="dxa"/>
            <w:noWrap/>
            <w:hideMark/>
          </w:tcPr>
          <w:p w14:paraId="2FF0C204" w14:textId="77777777" w:rsidR="00BF5D33" w:rsidRPr="00272192" w:rsidRDefault="00BF5D33" w:rsidP="00BF5D33">
            <w:pPr>
              <w:rPr>
                <w:rFonts w:ascii="Times New Roman" w:hAnsi="Times New Roman" w:cs="Times New Roman"/>
                <w:b/>
                <w:bCs/>
                <w:sz w:val="20"/>
                <w:szCs w:val="20"/>
              </w:rPr>
            </w:pPr>
            <w:r w:rsidRPr="00272192">
              <w:rPr>
                <w:rFonts w:ascii="Times New Roman" w:hAnsi="Times New Roman" w:cs="Times New Roman"/>
                <w:b/>
                <w:bCs/>
                <w:sz w:val="20"/>
                <w:szCs w:val="20"/>
              </w:rPr>
              <w:t>1000</w:t>
            </w:r>
          </w:p>
        </w:tc>
      </w:tr>
    </w:tbl>
    <w:p w14:paraId="422BFA02" w14:textId="56756F86" w:rsidR="00ED4271" w:rsidRPr="00272192" w:rsidRDefault="00ED4271" w:rsidP="00ED4271">
      <w:pPr>
        <w:tabs>
          <w:tab w:val="left" w:pos="2191"/>
        </w:tabs>
        <w:rPr>
          <w:rFonts w:ascii="Times New Roman" w:hAnsi="Times New Roman" w:cs="Times New Roman"/>
          <w:sz w:val="20"/>
          <w:szCs w:val="20"/>
        </w:rPr>
      </w:pPr>
    </w:p>
    <w:p w14:paraId="438ECF14" w14:textId="7C8B48E7" w:rsidR="00D72AD2" w:rsidRPr="00272192" w:rsidRDefault="00467FB5" w:rsidP="00ED4271">
      <w:pPr>
        <w:tabs>
          <w:tab w:val="left" w:pos="2191"/>
        </w:tabs>
        <w:rPr>
          <w:rFonts w:ascii="Times New Roman" w:hAnsi="Times New Roman" w:cs="Times New Roman"/>
          <w:sz w:val="20"/>
          <w:szCs w:val="20"/>
        </w:rPr>
      </w:pPr>
      <w:r w:rsidRPr="00272192">
        <w:rPr>
          <w:rFonts w:ascii="Times New Roman" w:hAnsi="Times New Roman" w:cs="Times New Roman"/>
          <w:sz w:val="20"/>
          <w:szCs w:val="20"/>
        </w:rPr>
        <w:t>Using claim ratio and profit margin banding, the portfolio was segmented into nine risk–profit cells. Analysis revealed that over 81% of the portfolio belongs to a high-claim yet high-profit segment, indicating strong current profitability but high volatility. A smaller 10.7% of the portfolio was identified as low-claim yet low-profit, representing the best opportunity for premium correction with minimal retention risk. Based on these insights, segment-wise premium adjustment rules were designed to improve profitability while preserving high-value customers.</w:t>
      </w:r>
    </w:p>
    <w:p w14:paraId="392932B6" w14:textId="2B907F30" w:rsidR="00ED4271" w:rsidRPr="00272192" w:rsidRDefault="00272192" w:rsidP="00ED4271">
      <w:pPr>
        <w:tabs>
          <w:tab w:val="left" w:pos="2191"/>
        </w:tabs>
        <w:rPr>
          <w:rFonts w:ascii="Times New Roman" w:hAnsi="Times New Roman" w:cs="Times New Roman"/>
          <w:sz w:val="20"/>
          <w:szCs w:val="20"/>
        </w:rPr>
      </w:pPr>
      <w:r w:rsidRPr="00272192">
        <w:rPr>
          <w:rFonts w:ascii="Times New Roman" w:hAnsi="Times New Roman" w:cs="Times New Roman"/>
          <w:sz w:val="20"/>
          <w:szCs w:val="20"/>
        </w:rPr>
        <w:t xml:space="preserve">The </w:t>
      </w:r>
      <w:r w:rsidRPr="00272192">
        <w:rPr>
          <w:rFonts w:ascii="Times New Roman" w:hAnsi="Times New Roman" w:cs="Times New Roman"/>
          <w:sz w:val="20"/>
          <w:szCs w:val="20"/>
        </w:rPr>
        <w:t>portfolio is extremely claim-heavy and dominated by the High-Claim, High-Profit segment. Profitability exists only because premiums are high, not because risk is low.</w:t>
      </w:r>
      <w:r w:rsidR="00077247">
        <w:rPr>
          <w:rFonts w:ascii="Times New Roman" w:hAnsi="Times New Roman" w:cs="Times New Roman"/>
          <w:sz w:val="20"/>
          <w:szCs w:val="20"/>
        </w:rPr>
        <w:t xml:space="preserve"> </w:t>
      </w:r>
      <w:r w:rsidRPr="00272192">
        <w:rPr>
          <w:rFonts w:ascii="Times New Roman" w:hAnsi="Times New Roman" w:cs="Times New Roman"/>
          <w:sz w:val="20"/>
          <w:szCs w:val="20"/>
        </w:rPr>
        <w:t>This makes the portfolio highly volatile and exposed to shock losses.</w:t>
      </w:r>
    </w:p>
    <w:p w14:paraId="7EF7179D" w14:textId="50CB2723" w:rsidR="00272192" w:rsidRPr="00272192" w:rsidRDefault="00272192" w:rsidP="00272192">
      <w:pPr>
        <w:tabs>
          <w:tab w:val="left" w:pos="2191"/>
        </w:tabs>
        <w:rPr>
          <w:rStyle w:val="Strong"/>
          <w:rFonts w:eastAsiaTheme="majorEastAsia"/>
          <w:color w:val="000000"/>
          <w:kern w:val="0"/>
          <w:sz w:val="20"/>
          <w:szCs w:val="20"/>
          <w:lang w:eastAsia="en-GB"/>
          <w14:ligatures w14:val="none"/>
        </w:rPr>
      </w:pPr>
      <w:r w:rsidRPr="00272192">
        <w:rPr>
          <w:rStyle w:val="Strong"/>
          <w:rFonts w:eastAsiaTheme="majorEastAsia"/>
          <w:color w:val="000000"/>
          <w:kern w:val="0"/>
          <w:sz w:val="20"/>
          <w:szCs w:val="20"/>
          <w:lang w:eastAsia="en-GB"/>
          <w14:ligatures w14:val="none"/>
        </w:rPr>
        <w:lastRenderedPageBreak/>
        <w:t>Final Executive Summary</w:t>
      </w:r>
      <w:r w:rsidRPr="00272192">
        <w:rPr>
          <w:rStyle w:val="Strong"/>
          <w:rFonts w:eastAsiaTheme="majorEastAsia"/>
          <w:color w:val="000000"/>
          <w:kern w:val="0"/>
          <w:sz w:val="20"/>
          <w:szCs w:val="20"/>
          <w:lang w:eastAsia="en-GB"/>
          <w14:ligatures w14:val="none"/>
        </w:rPr>
        <w:t>:</w:t>
      </w:r>
    </w:p>
    <w:p w14:paraId="6851E622" w14:textId="53E45CB3"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Risk-Based Segmentation &amp; Location-Based Pricing Optimisation</w:t>
      </w:r>
      <w:r w:rsidRPr="00272192">
        <w:rPr>
          <w:rFonts w:ascii="Times New Roman" w:hAnsi="Times New Roman" w:cs="Times New Roman"/>
          <w:sz w:val="20"/>
          <w:szCs w:val="20"/>
        </w:rPr>
        <w:t>.</w:t>
      </w:r>
    </w:p>
    <w:p w14:paraId="28F6892F"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This project applies risk-based customer segmentation, underwriting automation, and location-based pricing optimisation to an insurance portfolio of 1,000 policies using Excel, Python, and analytical modelling principles. The primary objective was to adjust premiums intelligently to maximise profitability while protecting customer retention.</w:t>
      </w:r>
    </w:p>
    <w:p w14:paraId="14F999F5" w14:textId="1CA9596F"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Portfolio-Level Findings</w:t>
      </w:r>
      <w:r w:rsidRPr="00272192">
        <w:rPr>
          <w:rFonts w:ascii="Times New Roman" w:hAnsi="Times New Roman" w:cs="Times New Roman"/>
          <w:sz w:val="20"/>
          <w:szCs w:val="20"/>
        </w:rPr>
        <w:t>-</w:t>
      </w:r>
    </w:p>
    <w:p w14:paraId="4694033A"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The overall portfolio shows extremely high claim exposure, with:</w:t>
      </w:r>
    </w:p>
    <w:p w14:paraId="374C9CE4"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Total Claims (USD): $52,761,940</w:t>
      </w:r>
    </w:p>
    <w:p w14:paraId="112BA1FC"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Total Premium (USD): $1,256,406</w:t>
      </w:r>
    </w:p>
    <w:p w14:paraId="51F1FB24"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 xml:space="preserve">Implied Loss Pressure: </w:t>
      </w:r>
      <w:r w:rsidRPr="00272192">
        <w:rPr>
          <w:rFonts w:ascii="Times New Roman" w:hAnsi="Times New Roman" w:cs="Times New Roman"/>
          <w:color w:val="EE0000"/>
          <w:sz w:val="20"/>
          <w:szCs w:val="20"/>
        </w:rPr>
        <w:t xml:space="preserve">~42x </w:t>
      </w:r>
      <w:r w:rsidRPr="00272192">
        <w:rPr>
          <w:rFonts w:ascii="Times New Roman" w:hAnsi="Times New Roman" w:cs="Times New Roman"/>
          <w:sz w:val="20"/>
          <w:szCs w:val="20"/>
        </w:rPr>
        <w:t>total premium collected</w:t>
      </w:r>
    </w:p>
    <w:p w14:paraId="4B3C6F91"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The portfolio is dominated by the High-Profit, High-Claim segment, which alone accounts for:</w:t>
      </w:r>
    </w:p>
    <w:p w14:paraId="6890DF32"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$52,201,650 in claim payouts</w:t>
      </w:r>
    </w:p>
    <w:p w14:paraId="18CF72FC"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$1,100,408 in premium collected</w:t>
      </w:r>
    </w:p>
    <w:p w14:paraId="697ADDA6" w14:textId="77777777" w:rsidR="00272192" w:rsidRPr="00272192" w:rsidRDefault="00272192" w:rsidP="00272192">
      <w:pPr>
        <w:tabs>
          <w:tab w:val="left" w:pos="2191"/>
        </w:tabs>
        <w:rPr>
          <w:rFonts w:ascii="Times New Roman" w:hAnsi="Times New Roman" w:cs="Times New Roman"/>
          <w:sz w:val="20"/>
          <w:szCs w:val="20"/>
        </w:rPr>
      </w:pPr>
      <w:r w:rsidRPr="00EA1205">
        <w:rPr>
          <w:rFonts w:ascii="Times New Roman" w:hAnsi="Times New Roman" w:cs="Times New Roman"/>
          <w:color w:val="EE0000"/>
          <w:sz w:val="20"/>
          <w:szCs w:val="20"/>
        </w:rPr>
        <w:t xml:space="preserve">~88% </w:t>
      </w:r>
      <w:r w:rsidRPr="00272192">
        <w:rPr>
          <w:rFonts w:ascii="Times New Roman" w:hAnsi="Times New Roman" w:cs="Times New Roman"/>
          <w:sz w:val="20"/>
          <w:szCs w:val="20"/>
        </w:rPr>
        <w:t>of total portfolio exposure</w:t>
      </w:r>
    </w:p>
    <w:p w14:paraId="29961AAC"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This confirms that current profitability exists because of high premium volumes, not because claim risk is low, making the portfolio highly volatile and exposed to catastrophic loss events.</w:t>
      </w:r>
    </w:p>
    <w:p w14:paraId="7E8A0B80"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Risk-Based Customer Segmentation Outcome</w:t>
      </w:r>
    </w:p>
    <w:p w14:paraId="10E83799"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Customers were segmented using claim ratio and profit margin bands, resulting in four actionable business groups:</w:t>
      </w:r>
    </w:p>
    <w:p w14:paraId="37A99311"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High Profit – High Claim: 814 policies (core revenue, highest volatility)</w:t>
      </w:r>
    </w:p>
    <w:p w14:paraId="7F7BCCA3"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High Profit – Low Claim: 12 policies (best customers – retention priority)</w:t>
      </w:r>
    </w:p>
    <w:p w14:paraId="4B6684C5"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Low Profit – Low Claim: 107 policies (underpriced, safest for repricing)</w:t>
      </w:r>
    </w:p>
    <w:p w14:paraId="370067A3"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 xml:space="preserve">Loss Making: </w:t>
      </w:r>
      <w:r w:rsidRPr="00466CE7">
        <w:rPr>
          <w:rFonts w:ascii="Times New Roman" w:hAnsi="Times New Roman" w:cs="Times New Roman"/>
          <w:color w:val="EE0000"/>
          <w:sz w:val="20"/>
          <w:szCs w:val="20"/>
        </w:rPr>
        <w:t xml:space="preserve">1 policy </w:t>
      </w:r>
      <w:r w:rsidRPr="00272192">
        <w:rPr>
          <w:rFonts w:ascii="Times New Roman" w:hAnsi="Times New Roman" w:cs="Times New Roman"/>
          <w:sz w:val="20"/>
          <w:szCs w:val="20"/>
        </w:rPr>
        <w:t>(requires immediate corrective intervention)</w:t>
      </w:r>
    </w:p>
    <w:p w14:paraId="2594AB89"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This segmentation clearly separated stable profitability from volatile profitability, enabling targeted pricing and underwriting controls.</w:t>
      </w:r>
    </w:p>
    <w:p w14:paraId="53858002"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Location-Based Claim Concentration (High-Profit Segment)</w:t>
      </w:r>
    </w:p>
    <w:p w14:paraId="438CB361"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Over 70% of all high-profit claims (USD) are concentrated in three states:</w:t>
      </w:r>
    </w:p>
    <w:p w14:paraId="07CA643D" w14:textId="77777777" w:rsidR="00272192" w:rsidRPr="00466CE7" w:rsidRDefault="00272192" w:rsidP="00272192">
      <w:pPr>
        <w:tabs>
          <w:tab w:val="left" w:pos="2191"/>
        </w:tabs>
        <w:rPr>
          <w:rFonts w:ascii="Times New Roman" w:hAnsi="Times New Roman" w:cs="Times New Roman"/>
          <w:b/>
          <w:bCs/>
          <w:sz w:val="20"/>
          <w:szCs w:val="20"/>
        </w:rPr>
      </w:pPr>
      <w:r w:rsidRPr="00466CE7">
        <w:rPr>
          <w:rFonts w:ascii="Times New Roman" w:hAnsi="Times New Roman" w:cs="Times New Roman"/>
          <w:b/>
          <w:bCs/>
          <w:sz w:val="20"/>
          <w:szCs w:val="20"/>
        </w:rPr>
        <w:t>New York: $14,656,130</w:t>
      </w:r>
    </w:p>
    <w:p w14:paraId="7A741D06" w14:textId="77777777" w:rsidR="00272192" w:rsidRPr="00466CE7" w:rsidRDefault="00272192" w:rsidP="00272192">
      <w:pPr>
        <w:tabs>
          <w:tab w:val="left" w:pos="2191"/>
        </w:tabs>
        <w:rPr>
          <w:rFonts w:ascii="Times New Roman" w:hAnsi="Times New Roman" w:cs="Times New Roman"/>
          <w:b/>
          <w:bCs/>
          <w:sz w:val="20"/>
          <w:szCs w:val="20"/>
        </w:rPr>
      </w:pPr>
      <w:r w:rsidRPr="00466CE7">
        <w:rPr>
          <w:rFonts w:ascii="Times New Roman" w:hAnsi="Times New Roman" w:cs="Times New Roman"/>
          <w:b/>
          <w:bCs/>
          <w:sz w:val="20"/>
          <w:szCs w:val="20"/>
        </w:rPr>
        <w:t>South Carolina: $13,423,300</w:t>
      </w:r>
    </w:p>
    <w:p w14:paraId="538A571B" w14:textId="77777777" w:rsidR="00272192" w:rsidRPr="00466CE7" w:rsidRDefault="00272192" w:rsidP="00272192">
      <w:pPr>
        <w:tabs>
          <w:tab w:val="left" w:pos="2191"/>
        </w:tabs>
        <w:rPr>
          <w:rFonts w:ascii="Times New Roman" w:hAnsi="Times New Roman" w:cs="Times New Roman"/>
          <w:b/>
          <w:bCs/>
          <w:sz w:val="20"/>
          <w:szCs w:val="20"/>
        </w:rPr>
      </w:pPr>
      <w:r w:rsidRPr="00466CE7">
        <w:rPr>
          <w:rFonts w:ascii="Times New Roman" w:hAnsi="Times New Roman" w:cs="Times New Roman"/>
          <w:b/>
          <w:bCs/>
          <w:sz w:val="20"/>
          <w:szCs w:val="20"/>
        </w:rPr>
        <w:t>West Virginia: $10,715,340</w:t>
      </w:r>
    </w:p>
    <w:p w14:paraId="7D3C7E3F"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These states remain profitable today but represent severe concentration risk and form the primary geographic control points for premium adjustment and volatility protection.</w:t>
      </w:r>
    </w:p>
    <w:p w14:paraId="14C4361E"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 xml:space="preserve">Meanwhile, low-profit regions (WV, SC, NY, VA, NC) showed low claim payouts but weak premium intake, indicating systematic </w:t>
      </w:r>
      <w:proofErr w:type="spellStart"/>
      <w:r w:rsidRPr="00272192">
        <w:rPr>
          <w:rFonts w:ascii="Times New Roman" w:hAnsi="Times New Roman" w:cs="Times New Roman"/>
          <w:sz w:val="20"/>
          <w:szCs w:val="20"/>
        </w:rPr>
        <w:t>underpricing</w:t>
      </w:r>
      <w:proofErr w:type="spellEnd"/>
      <w:r w:rsidRPr="00272192">
        <w:rPr>
          <w:rFonts w:ascii="Times New Roman" w:hAnsi="Times New Roman" w:cs="Times New Roman"/>
          <w:sz w:val="20"/>
          <w:szCs w:val="20"/>
        </w:rPr>
        <w:t xml:space="preserve"> with minimal churn risk.</w:t>
      </w:r>
    </w:p>
    <w:p w14:paraId="465CE0B5"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Final Premium Optimisation Strategy</w:t>
      </w:r>
    </w:p>
    <w:tbl>
      <w:tblPr>
        <w:tblStyle w:val="TableGrid"/>
        <w:tblW w:w="9028" w:type="dxa"/>
        <w:tblLook w:val="04A0" w:firstRow="1" w:lastRow="0" w:firstColumn="1" w:lastColumn="0" w:noHBand="0" w:noVBand="1"/>
      </w:tblPr>
      <w:tblGrid>
        <w:gridCol w:w="4752"/>
        <w:gridCol w:w="4276"/>
      </w:tblGrid>
      <w:tr w:rsidR="00272192" w:rsidRPr="00272192" w14:paraId="5E868FDD" w14:textId="4296EDD4" w:rsidTr="00272192">
        <w:trPr>
          <w:trHeight w:val="292"/>
        </w:trPr>
        <w:tc>
          <w:tcPr>
            <w:tcW w:w="4752" w:type="dxa"/>
          </w:tcPr>
          <w:p w14:paraId="3B343FF6" w14:textId="77777777"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lastRenderedPageBreak/>
              <w:t>High-Risk, High-Profit States (Profit Protection)</w:t>
            </w:r>
          </w:p>
        </w:tc>
        <w:tc>
          <w:tcPr>
            <w:tcW w:w="4276" w:type="dxa"/>
          </w:tcPr>
          <w:p w14:paraId="332EC1E5" w14:textId="1F94DC1D"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Low-Profit, Low-Risk States (Profit Recovery)</w:t>
            </w:r>
          </w:p>
        </w:tc>
      </w:tr>
      <w:tr w:rsidR="00272192" w:rsidRPr="00272192" w14:paraId="11F2AC94" w14:textId="23D14CE7" w:rsidTr="00272192">
        <w:trPr>
          <w:trHeight w:val="292"/>
        </w:trPr>
        <w:tc>
          <w:tcPr>
            <w:tcW w:w="4752" w:type="dxa"/>
          </w:tcPr>
          <w:p w14:paraId="6B4A06C5" w14:textId="77777777"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NY: +8%</w:t>
            </w:r>
          </w:p>
        </w:tc>
        <w:tc>
          <w:tcPr>
            <w:tcW w:w="4276" w:type="dxa"/>
          </w:tcPr>
          <w:p w14:paraId="2F80042C" w14:textId="2628E3ED"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WV: +12%</w:t>
            </w:r>
          </w:p>
        </w:tc>
      </w:tr>
      <w:tr w:rsidR="00272192" w:rsidRPr="00272192" w14:paraId="3AB24DEB" w14:textId="5D2CE60C" w:rsidTr="00272192">
        <w:trPr>
          <w:trHeight w:val="292"/>
        </w:trPr>
        <w:tc>
          <w:tcPr>
            <w:tcW w:w="4752" w:type="dxa"/>
          </w:tcPr>
          <w:p w14:paraId="25D36ABB" w14:textId="77777777"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SC: +10%</w:t>
            </w:r>
          </w:p>
        </w:tc>
        <w:tc>
          <w:tcPr>
            <w:tcW w:w="4276" w:type="dxa"/>
          </w:tcPr>
          <w:p w14:paraId="1E8240F0" w14:textId="3FD00978"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SC: +10%</w:t>
            </w:r>
          </w:p>
        </w:tc>
      </w:tr>
      <w:tr w:rsidR="00272192" w:rsidRPr="00272192" w14:paraId="47E8E24F" w14:textId="06020438" w:rsidTr="00272192">
        <w:trPr>
          <w:trHeight w:val="310"/>
        </w:trPr>
        <w:tc>
          <w:tcPr>
            <w:tcW w:w="4752" w:type="dxa"/>
          </w:tcPr>
          <w:p w14:paraId="6563FCDF" w14:textId="77777777"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WV: +7%</w:t>
            </w:r>
          </w:p>
        </w:tc>
        <w:tc>
          <w:tcPr>
            <w:tcW w:w="4276" w:type="dxa"/>
          </w:tcPr>
          <w:p w14:paraId="16688155" w14:textId="17CCA42B"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NY: +8%</w:t>
            </w:r>
          </w:p>
        </w:tc>
      </w:tr>
      <w:tr w:rsidR="00272192" w:rsidRPr="00272192" w14:paraId="208DDA91" w14:textId="42365B11" w:rsidTr="00272192">
        <w:trPr>
          <w:trHeight w:val="292"/>
        </w:trPr>
        <w:tc>
          <w:tcPr>
            <w:tcW w:w="4752" w:type="dxa"/>
          </w:tcPr>
          <w:p w14:paraId="4C3ECEBC" w14:textId="77777777"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NC: +5%</w:t>
            </w:r>
          </w:p>
        </w:tc>
        <w:tc>
          <w:tcPr>
            <w:tcW w:w="4276" w:type="dxa"/>
          </w:tcPr>
          <w:p w14:paraId="3A507611" w14:textId="3B4AC0FF"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VA: +7%</w:t>
            </w:r>
          </w:p>
        </w:tc>
      </w:tr>
      <w:tr w:rsidR="00272192" w:rsidRPr="00272192" w14:paraId="02128BA8" w14:textId="3BCE2A51" w:rsidTr="00272192">
        <w:trPr>
          <w:trHeight w:val="292"/>
        </w:trPr>
        <w:tc>
          <w:tcPr>
            <w:tcW w:w="4752" w:type="dxa"/>
          </w:tcPr>
          <w:p w14:paraId="7D069F19" w14:textId="77777777"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VA: +5%</w:t>
            </w:r>
          </w:p>
        </w:tc>
        <w:tc>
          <w:tcPr>
            <w:tcW w:w="4276" w:type="dxa"/>
          </w:tcPr>
          <w:p w14:paraId="6F3A2B7B" w14:textId="6E8A2B79" w:rsidR="00272192" w:rsidRPr="00272192" w:rsidRDefault="00272192" w:rsidP="00250F10">
            <w:pPr>
              <w:tabs>
                <w:tab w:val="left" w:pos="2191"/>
              </w:tabs>
              <w:rPr>
                <w:rFonts w:ascii="Times New Roman" w:hAnsi="Times New Roman" w:cs="Times New Roman"/>
                <w:sz w:val="20"/>
                <w:szCs w:val="20"/>
              </w:rPr>
            </w:pPr>
            <w:r w:rsidRPr="00272192">
              <w:rPr>
                <w:rFonts w:ascii="Times New Roman" w:hAnsi="Times New Roman" w:cs="Times New Roman"/>
                <w:sz w:val="20"/>
                <w:szCs w:val="20"/>
              </w:rPr>
              <w:t>NC: +7%</w:t>
            </w:r>
          </w:p>
        </w:tc>
      </w:tr>
    </w:tbl>
    <w:p w14:paraId="75A073F4" w14:textId="77777777" w:rsidR="00272192" w:rsidRPr="00272192" w:rsidRDefault="00272192" w:rsidP="00272192">
      <w:pPr>
        <w:tabs>
          <w:tab w:val="left" w:pos="2191"/>
        </w:tabs>
        <w:rPr>
          <w:rFonts w:ascii="Times New Roman" w:hAnsi="Times New Roman" w:cs="Times New Roman"/>
          <w:sz w:val="20"/>
          <w:szCs w:val="20"/>
        </w:rPr>
      </w:pPr>
    </w:p>
    <w:p w14:paraId="4ECEF1CD" w14:textId="45B2C0EF"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Best Customers (Retention Focus)</w:t>
      </w:r>
    </w:p>
    <w:p w14:paraId="741F174B"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High-Profit + Low-Claim customers receive a −5% loyalty discount</w:t>
      </w:r>
    </w:p>
    <w:p w14:paraId="67CD7F92"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Priority retention and fast-track servicing</w:t>
      </w:r>
    </w:p>
    <w:p w14:paraId="51A3F076"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This dual strategy protects existing revenue from claim volatility while lifting profit in underpriced low-risk regions.</w:t>
      </w:r>
    </w:p>
    <w:p w14:paraId="194CB257"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Underwriting Automation Integration</w:t>
      </w:r>
    </w:p>
    <w:p w14:paraId="2E62746B"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Segmentation and geo-risk insights directly support automated underwriting decisions:</w:t>
      </w:r>
    </w:p>
    <w:p w14:paraId="12190B49"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High Claim + High-Risk States → Manual Review</w:t>
      </w:r>
    </w:p>
    <w:p w14:paraId="65D29DE6"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Low Claim + High Profit → Fast-Track Approval</w:t>
      </w:r>
    </w:p>
    <w:p w14:paraId="5C006B1A"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Low Claim + Low Profit → Auto-Approve with Repricing</w:t>
      </w:r>
    </w:p>
    <w:p w14:paraId="1719A987"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This framework reduces underwriting workload while maintaining strong risk governance.</w:t>
      </w:r>
    </w:p>
    <w:p w14:paraId="4E8954CB"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Business Impact</w:t>
      </w:r>
    </w:p>
    <w:p w14:paraId="0586C4CB"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Identified geographic concentration of claim severity in dollar terms</w:t>
      </w:r>
    </w:p>
    <w:p w14:paraId="1E385971"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 xml:space="preserve">Detected systematic </w:t>
      </w:r>
      <w:proofErr w:type="spellStart"/>
      <w:r w:rsidRPr="00272192">
        <w:rPr>
          <w:rFonts w:ascii="Times New Roman" w:hAnsi="Times New Roman" w:cs="Times New Roman"/>
          <w:sz w:val="20"/>
          <w:szCs w:val="20"/>
        </w:rPr>
        <w:t>underpricing</w:t>
      </w:r>
      <w:proofErr w:type="spellEnd"/>
      <w:r w:rsidRPr="00272192">
        <w:rPr>
          <w:rFonts w:ascii="Times New Roman" w:hAnsi="Times New Roman" w:cs="Times New Roman"/>
          <w:sz w:val="20"/>
          <w:szCs w:val="20"/>
        </w:rPr>
        <w:t xml:space="preserve"> across multiple low-risk regions</w:t>
      </w:r>
    </w:p>
    <w:p w14:paraId="72CC18A4"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Designed a state-wise premium loading framework (5%–12%)</w:t>
      </w:r>
    </w:p>
    <w:p w14:paraId="1ADA4E8E"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Established a scalable data-driven pricing and underwriting model</w:t>
      </w:r>
    </w:p>
    <w:p w14:paraId="4404648B" w14:textId="77777777"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Balanced profit growth with long-term customer retention</w:t>
      </w:r>
    </w:p>
    <w:p w14:paraId="779202DB" w14:textId="1C8BA065" w:rsidR="00272192" w:rsidRPr="00272192" w:rsidRDefault="007372D8" w:rsidP="00272192">
      <w:pPr>
        <w:tabs>
          <w:tab w:val="left" w:pos="2191"/>
        </w:tabs>
        <w:rPr>
          <w:rFonts w:ascii="Times New Roman" w:hAnsi="Times New Roman" w:cs="Times New Roman"/>
          <w:sz w:val="20"/>
          <w:szCs w:val="20"/>
        </w:rPr>
      </w:pPr>
      <w:r>
        <w:rPr>
          <w:rFonts w:ascii="Times New Roman" w:hAnsi="Times New Roman" w:cs="Times New Roman"/>
          <w:sz w:val="20"/>
          <w:szCs w:val="20"/>
        </w:rPr>
        <w:br/>
      </w:r>
      <w:r w:rsidR="00272192" w:rsidRPr="007372D8">
        <w:rPr>
          <w:rFonts w:ascii="Times New Roman" w:hAnsi="Times New Roman" w:cs="Times New Roman"/>
        </w:rPr>
        <w:t>Conclusion</w:t>
      </w:r>
      <w:r>
        <w:rPr>
          <w:rFonts w:ascii="Times New Roman" w:hAnsi="Times New Roman" w:cs="Times New Roman"/>
        </w:rPr>
        <w:t>:</w:t>
      </w:r>
    </w:p>
    <w:p w14:paraId="736754A5" w14:textId="37848E02" w:rsidR="00272192" w:rsidRPr="00272192" w:rsidRDefault="00272192" w:rsidP="00272192">
      <w:pPr>
        <w:tabs>
          <w:tab w:val="left" w:pos="2191"/>
        </w:tabs>
        <w:rPr>
          <w:rFonts w:ascii="Times New Roman" w:hAnsi="Times New Roman" w:cs="Times New Roman"/>
          <w:sz w:val="20"/>
          <w:szCs w:val="20"/>
        </w:rPr>
      </w:pPr>
      <w:r w:rsidRPr="00272192">
        <w:rPr>
          <w:rFonts w:ascii="Times New Roman" w:hAnsi="Times New Roman" w:cs="Times New Roman"/>
          <w:sz w:val="20"/>
          <w:szCs w:val="20"/>
        </w:rPr>
        <w:t>This project demonstrates how risk-based segmentation combined with location-specific dollar-based claim analysis can convert a volatile insurance portfolio into a financially optimised, risk-secured book of business. By integrating customer behaviour, claim intensity in USD, and geographic exposure, the insurer gains a defensible pricing structure, automated underwriting pathways, and sustainable profitability.</w:t>
      </w:r>
    </w:p>
    <w:sectPr w:rsidR="00272192" w:rsidRPr="002721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4814" w14:textId="77777777" w:rsidR="004415BD" w:rsidRDefault="004415BD" w:rsidP="00467FB5">
      <w:pPr>
        <w:spacing w:after="0" w:line="240" w:lineRule="auto"/>
      </w:pPr>
      <w:r>
        <w:separator/>
      </w:r>
    </w:p>
  </w:endnote>
  <w:endnote w:type="continuationSeparator" w:id="0">
    <w:p w14:paraId="3890F309" w14:textId="77777777" w:rsidR="004415BD" w:rsidRDefault="004415BD" w:rsidP="00467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09945" w14:textId="77777777" w:rsidR="004415BD" w:rsidRDefault="004415BD" w:rsidP="00467FB5">
      <w:pPr>
        <w:spacing w:after="0" w:line="240" w:lineRule="auto"/>
      </w:pPr>
      <w:r>
        <w:separator/>
      </w:r>
    </w:p>
  </w:footnote>
  <w:footnote w:type="continuationSeparator" w:id="0">
    <w:p w14:paraId="3D349C09" w14:textId="77777777" w:rsidR="004415BD" w:rsidRDefault="004415BD" w:rsidP="00467FB5">
      <w:pPr>
        <w:spacing w:after="0" w:line="240" w:lineRule="auto"/>
      </w:pPr>
      <w:r>
        <w:continuationSeparator/>
      </w:r>
    </w:p>
  </w:footnote>
  <w:footnote w:id="1">
    <w:p w14:paraId="39C7F40D" w14:textId="2E3AA55F" w:rsidR="00D72AD2" w:rsidRPr="00D72AD2" w:rsidRDefault="00D72AD2">
      <w:pPr>
        <w:pStyle w:val="FootnoteText"/>
        <w:rPr>
          <w:lang w:val="en-US"/>
        </w:rPr>
      </w:pPr>
      <w:r>
        <w:rPr>
          <w:rStyle w:val="FootnoteReference"/>
        </w:rPr>
        <w:footnoteRef/>
      </w:r>
      <w:r>
        <w:t xml:space="preserve"> </w:t>
      </w:r>
      <w:r>
        <w:rPr>
          <w:sz w:val="16"/>
          <w:szCs w:val="16"/>
          <w:lang w:val="en-US"/>
        </w:rPr>
        <w:t xml:space="preserve">banding- </w:t>
      </w:r>
      <w:r w:rsidR="00077247">
        <w:rPr>
          <w:sz w:val="16"/>
          <w:szCs w:val="16"/>
          <w:lang w:val="en-US"/>
        </w:rPr>
        <w:t>b</w:t>
      </w:r>
      <w:r w:rsidR="00077247" w:rsidRPr="00077247">
        <w:rPr>
          <w:sz w:val="16"/>
          <w:szCs w:val="16"/>
          <w:lang w:val="en-US"/>
        </w:rPr>
        <w:t>anding is the conversion of continuous variables (e.g., claim ratio, profit margin) into discrete categories such as Low, Medium, and High to simplify risk assessment and enable segmentation and rule-based pricing decisions.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0E7"/>
    <w:multiLevelType w:val="multilevel"/>
    <w:tmpl w:val="DCB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52AC1"/>
    <w:multiLevelType w:val="multilevel"/>
    <w:tmpl w:val="AEFA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54D56"/>
    <w:multiLevelType w:val="hybridMultilevel"/>
    <w:tmpl w:val="AF2E1FC4"/>
    <w:lvl w:ilvl="0" w:tplc="795430FC">
      <w:start w:val="1"/>
      <w:numFmt w:val="decimal"/>
      <w:lvlText w:val="%1."/>
      <w:lvlJc w:val="left"/>
      <w:pPr>
        <w:ind w:left="720" w:hanging="360"/>
      </w:pPr>
      <w:rPr>
        <w:rFonts w:eastAsiaTheme="majorEastAsia"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032058">
    <w:abstractNumId w:val="1"/>
  </w:num>
  <w:num w:numId="2" w16cid:durableId="728654292">
    <w:abstractNumId w:val="2"/>
  </w:num>
  <w:num w:numId="3" w16cid:durableId="85380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EE"/>
    <w:rsid w:val="00077247"/>
    <w:rsid w:val="00272192"/>
    <w:rsid w:val="004415BD"/>
    <w:rsid w:val="00466CE7"/>
    <w:rsid w:val="00467FB5"/>
    <w:rsid w:val="004A181E"/>
    <w:rsid w:val="004B4BE3"/>
    <w:rsid w:val="006D0DF1"/>
    <w:rsid w:val="007372D8"/>
    <w:rsid w:val="007A2AA8"/>
    <w:rsid w:val="00821D65"/>
    <w:rsid w:val="00830416"/>
    <w:rsid w:val="008B1D71"/>
    <w:rsid w:val="009D5E8E"/>
    <w:rsid w:val="00A51D08"/>
    <w:rsid w:val="00B26B06"/>
    <w:rsid w:val="00B900EE"/>
    <w:rsid w:val="00BF5D33"/>
    <w:rsid w:val="00D72AD2"/>
    <w:rsid w:val="00DB0B79"/>
    <w:rsid w:val="00EA1205"/>
    <w:rsid w:val="00ED427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8C07"/>
  <w15:chartTrackingRefBased/>
  <w15:docId w15:val="{E24814E8-2AB1-084A-B166-FC0166F4D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0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0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0EE"/>
    <w:rPr>
      <w:rFonts w:eastAsiaTheme="majorEastAsia" w:cstheme="majorBidi"/>
      <w:color w:val="272727" w:themeColor="text1" w:themeTint="D8"/>
    </w:rPr>
  </w:style>
  <w:style w:type="paragraph" w:styleId="Title">
    <w:name w:val="Title"/>
    <w:basedOn w:val="Normal"/>
    <w:next w:val="Normal"/>
    <w:link w:val="TitleChar"/>
    <w:uiPriority w:val="10"/>
    <w:qFormat/>
    <w:rsid w:val="00B90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0EE"/>
    <w:pPr>
      <w:spacing w:before="160"/>
      <w:jc w:val="center"/>
    </w:pPr>
    <w:rPr>
      <w:i/>
      <w:iCs/>
      <w:color w:val="404040" w:themeColor="text1" w:themeTint="BF"/>
    </w:rPr>
  </w:style>
  <w:style w:type="character" w:customStyle="1" w:styleId="QuoteChar">
    <w:name w:val="Quote Char"/>
    <w:basedOn w:val="DefaultParagraphFont"/>
    <w:link w:val="Quote"/>
    <w:uiPriority w:val="29"/>
    <w:rsid w:val="00B900EE"/>
    <w:rPr>
      <w:i/>
      <w:iCs/>
      <w:color w:val="404040" w:themeColor="text1" w:themeTint="BF"/>
    </w:rPr>
  </w:style>
  <w:style w:type="paragraph" w:styleId="ListParagraph">
    <w:name w:val="List Paragraph"/>
    <w:basedOn w:val="Normal"/>
    <w:uiPriority w:val="34"/>
    <w:qFormat/>
    <w:rsid w:val="00B900EE"/>
    <w:pPr>
      <w:ind w:left="720"/>
      <w:contextualSpacing/>
    </w:pPr>
  </w:style>
  <w:style w:type="character" w:styleId="IntenseEmphasis">
    <w:name w:val="Intense Emphasis"/>
    <w:basedOn w:val="DefaultParagraphFont"/>
    <w:uiPriority w:val="21"/>
    <w:qFormat/>
    <w:rsid w:val="00B900EE"/>
    <w:rPr>
      <w:i/>
      <w:iCs/>
      <w:color w:val="0F4761" w:themeColor="accent1" w:themeShade="BF"/>
    </w:rPr>
  </w:style>
  <w:style w:type="paragraph" w:styleId="IntenseQuote">
    <w:name w:val="Intense Quote"/>
    <w:basedOn w:val="Normal"/>
    <w:next w:val="Normal"/>
    <w:link w:val="IntenseQuoteChar"/>
    <w:uiPriority w:val="30"/>
    <w:qFormat/>
    <w:rsid w:val="00B90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0EE"/>
    <w:rPr>
      <w:i/>
      <w:iCs/>
      <w:color w:val="0F4761" w:themeColor="accent1" w:themeShade="BF"/>
    </w:rPr>
  </w:style>
  <w:style w:type="character" w:styleId="IntenseReference">
    <w:name w:val="Intense Reference"/>
    <w:basedOn w:val="DefaultParagraphFont"/>
    <w:uiPriority w:val="32"/>
    <w:qFormat/>
    <w:rsid w:val="00B900EE"/>
    <w:rPr>
      <w:b/>
      <w:bCs/>
      <w:smallCaps/>
      <w:color w:val="0F4761" w:themeColor="accent1" w:themeShade="BF"/>
      <w:spacing w:val="5"/>
    </w:rPr>
  </w:style>
  <w:style w:type="paragraph" w:styleId="NormalWeb">
    <w:name w:val="Normal (Web)"/>
    <w:basedOn w:val="Normal"/>
    <w:uiPriority w:val="99"/>
    <w:semiHidden/>
    <w:unhideWhenUsed/>
    <w:rsid w:val="00B900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900EE"/>
    <w:rPr>
      <w:b/>
      <w:bCs/>
    </w:rPr>
  </w:style>
  <w:style w:type="character" w:styleId="HTMLCode">
    <w:name w:val="HTML Code"/>
    <w:basedOn w:val="DefaultParagraphFont"/>
    <w:uiPriority w:val="99"/>
    <w:semiHidden/>
    <w:unhideWhenUsed/>
    <w:rsid w:val="00B900EE"/>
    <w:rPr>
      <w:rFonts w:ascii="Courier New" w:eastAsia="Times New Roman" w:hAnsi="Courier New" w:cs="Courier New"/>
      <w:sz w:val="20"/>
      <w:szCs w:val="20"/>
    </w:rPr>
  </w:style>
  <w:style w:type="table" w:styleId="TableGrid">
    <w:name w:val="Table Grid"/>
    <w:basedOn w:val="TableNormal"/>
    <w:uiPriority w:val="39"/>
    <w:rsid w:val="00B90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900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DefaultParagraphFont"/>
    <w:rsid w:val="007A2AA8"/>
  </w:style>
  <w:style w:type="paragraph" w:styleId="EndnoteText">
    <w:name w:val="endnote text"/>
    <w:basedOn w:val="Normal"/>
    <w:link w:val="EndnoteTextChar"/>
    <w:uiPriority w:val="99"/>
    <w:semiHidden/>
    <w:unhideWhenUsed/>
    <w:rsid w:val="00467FB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7FB5"/>
    <w:rPr>
      <w:sz w:val="20"/>
      <w:szCs w:val="20"/>
    </w:rPr>
  </w:style>
  <w:style w:type="character" w:styleId="EndnoteReference">
    <w:name w:val="endnote reference"/>
    <w:basedOn w:val="DefaultParagraphFont"/>
    <w:uiPriority w:val="99"/>
    <w:semiHidden/>
    <w:unhideWhenUsed/>
    <w:rsid w:val="00467FB5"/>
    <w:rPr>
      <w:vertAlign w:val="superscript"/>
    </w:rPr>
  </w:style>
  <w:style w:type="paragraph" w:styleId="FootnoteText">
    <w:name w:val="footnote text"/>
    <w:basedOn w:val="Normal"/>
    <w:link w:val="FootnoteTextChar"/>
    <w:uiPriority w:val="99"/>
    <w:semiHidden/>
    <w:unhideWhenUsed/>
    <w:rsid w:val="00D72A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2AD2"/>
    <w:rPr>
      <w:sz w:val="20"/>
      <w:szCs w:val="20"/>
    </w:rPr>
  </w:style>
  <w:style w:type="character" w:styleId="FootnoteReference">
    <w:name w:val="footnote reference"/>
    <w:basedOn w:val="DefaultParagraphFont"/>
    <w:uiPriority w:val="99"/>
    <w:semiHidden/>
    <w:unhideWhenUsed/>
    <w:rsid w:val="00D72AD2"/>
    <w:rPr>
      <w:vertAlign w:val="superscript"/>
    </w:rPr>
  </w:style>
  <w:style w:type="paragraph" w:styleId="Header">
    <w:name w:val="header"/>
    <w:basedOn w:val="Normal"/>
    <w:link w:val="HeaderChar"/>
    <w:uiPriority w:val="99"/>
    <w:unhideWhenUsed/>
    <w:rsid w:val="00272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192"/>
  </w:style>
  <w:style w:type="paragraph" w:styleId="Footer">
    <w:name w:val="footer"/>
    <w:basedOn w:val="Normal"/>
    <w:link w:val="FooterChar"/>
    <w:uiPriority w:val="99"/>
    <w:unhideWhenUsed/>
    <w:rsid w:val="00272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F3F19-4D51-E341-BA72-E70BA24A2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Kothari</dc:creator>
  <cp:keywords/>
  <dc:description/>
  <cp:lastModifiedBy>Sajal Kothari</cp:lastModifiedBy>
  <cp:revision>22</cp:revision>
  <dcterms:created xsi:type="dcterms:W3CDTF">2025-12-08T14:15:00Z</dcterms:created>
  <dcterms:modified xsi:type="dcterms:W3CDTF">2025-12-09T00:01:00Z</dcterms:modified>
</cp:coreProperties>
</file>