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Radical Lab проектная документация</w:t>
      </w:r>
    </w:p>
    <w:p>
      <w:r>
        <w:t>Версия 1.0.0. Переносимый калькулятор комплексных чисел и символьных выражений. Документ объединяет описание продукта, инструкцию, архитектуру, проверку качества, выпуск и учебный план работ.</w:t>
      </w:r>
    </w:p>
    <w:p>
      <w:r>
        <w:t>Главное решение проекта — автономный HTML-файл. Пользователь открывает его в браузере без установки, а вычисления выполняются на его устройстве. Точность можно настроить, но число выведенных цифр не является сертификатом математической погрешности.</w:t>
      </w:r>
    </w:p>
    <w:p>
      <w:pPr>
        <w:pStyle w:val="Heading1"/>
      </w:pPr>
      <w:r>
        <w:t>Программа и технологии</w:t>
      </w:r>
    </w:p>
    <w:p>
      <w:r>
        <w:t>Программа написана на TypeScript. Это JavaScript с проверкой типов во время разработки. Интерфейс сделан на React и CSS; браузер выполняет собранный JavaScript. Исходный учебный пример использовал C++. Новая версия обходится без него.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200"/>
      </w:tblGrid>
      <w:tr>
        <w:trPr>
          <w:tblHeader w:val="true"/>
        </w:trPr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Компонент</w:t>
            </w:r>
          </w:p>
        </w:tc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Назначение</w:t>
            </w:r>
          </w:p>
        </w:tc>
      </w:tr>
      <w:t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TypeScript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Основной исходный код, парсер выражений, логика расчёта и управление состоянием.</w:t>
            </w:r>
          </w:p>
        </w:tc>
      </w:tr>
      <w:t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React и CSS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Окно калькулятора, история, диалоги, адаптивная вёрстка и четыре языка интерфейса.</w:t>
            </w:r>
          </w:p>
        </w:tc>
      </w:tr>
      <w:t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decimal.js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Десятичная арифметика для действительной и мнимой частей комплексного числа.</w:t>
            </w:r>
          </w:p>
        </w:tc>
      </w:tr>
      <w:t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Nerdamer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Символьное упрощение дробей, радикалов и выражений с переменными.</w:t>
            </w:r>
          </w:p>
        </w:tc>
      </w:tr>
      <w:t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Vite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Сборка кода и библиотек в один HTML-файл; пользователю Vite не нужен.</w:t>
            </w:r>
          </w:p>
        </w:tc>
      </w:tr>
      <w:t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Vitest и Playwright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Тесты вычислений и сквозные проверки в браузерах.</w:t>
            </w:r>
          </w:p>
        </w:tc>
      </w:tr>
      <w:t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GitHub Actions и Pages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Автоматические проверки, публикация сайта и скачиваемого релиза.</w:t>
            </w:r>
          </w:p>
        </w:tc>
      </w:tr>
    </w:tbl>
    <w:p>
      <w:pPr>
        <w:spacing w:after="0"/>
      </w:pPr>
    </w:p>
    <w:p>
      <w:r>
        <w:t>Node.js и npm нужны только разработчику для сборки и тестов. Для обычного запуска достаточно поддерживаемого браузера.</w:t>
      </w:r>
    </w:p>
    <w:p>
      <w:pPr>
        <w:pStyle w:val="Heading1"/>
      </w:pPr>
      <w:r>
        <w:t>Возможности и границы</w:t>
      </w:r>
    </w:p>
    <w:p>
      <w:pPr>
        <w:pStyle w:val="ListBullet"/>
      </w:pPr>
      <w:r>
        <w:t>Численный режим вычисляет действительные и комплексные выражения, включая sqrt, sin, cos, tan, exp, ln, abs, re, im и conj.</w:t>
      </w:r>
    </w:p>
    <w:p>
      <w:pPr>
        <w:pStyle w:val="ListBullet"/>
      </w:pPr>
      <w:r>
        <w:t>Рабочая точность и точность вывода задаются отдельно в диапазоне от 2 до 200 значащих цифр. По умолчанию 50 и 20.</w:t>
      </w:r>
    </w:p>
    <w:p>
      <w:pPr>
        <w:pStyle w:val="ListBullet"/>
      </w:pPr>
      <w:r>
        <w:t>Символьный режим упрощает выражения с x, y и z, дроби и радикалы. Уравнения, производные и графики не входят в версию 1.0.</w:t>
      </w:r>
    </w:p>
    <w:p>
      <w:pPr>
        <w:pStyle w:val="ListBullet"/>
      </w:pPr>
      <w:r>
        <w:t>Интерфейс переведён на русский, английский, испанский и упрощённый китайский. История последних 50 успешных расчётов хранится только в памяти вкладки.</w:t>
      </w:r>
    </w:p>
    <w:p>
      <w:pPr>
        <w:pStyle w:val="ListBullet"/>
      </w:pPr>
      <w:r>
        <w:t>Ошибки показываются понятным сообщением. Долгий расчёт можно отменить; через четыре секунды вычислитель останавливается автоматически.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2268"/>
        <w:gridCol w:w="3515"/>
      </w:tblGrid>
      <w:tr>
        <w:trPr>
          <w:tblHeader w:val="true"/>
        </w:trPr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Ввод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Режим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Результат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sqrt(-1)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Численный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(2+3i)^2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Численный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-5 + 12i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0.1+0.2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Численный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0.3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sqrt(0,25)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Численный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0.5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sqrt(8)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Символьный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2*sqrt(2)</w:t>
            </w:r>
          </w:p>
        </w:tc>
      </w:tr>
      <w:tr>
        <w:tc>
          <w:tcPr>
            <w:tcW w:type="dxa" w:w="31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x+x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Символьный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2*x</w:t>
            </w:r>
          </w:p>
        </w:tc>
      </w:tr>
    </w:tbl>
    <w:p>
      <w:pPr>
        <w:spacing w:after="0"/>
      </w:pPr>
    </w:p>
    <w:p>
      <w:pPr>
        <w:pStyle w:val="Heading1"/>
      </w:pPr>
      <w:r>
        <w:t>Требования к первому выпуску</w:t>
      </w:r>
    </w:p>
    <w:p>
      <w:r>
        <w:t>Приёмка строится на проверяемых результатах, а не на наличии отдельных файлов.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948"/>
        <w:gridCol w:w="5499"/>
      </w:tblGrid>
      <w:tr>
        <w:trPr>
          <w:tblHeader w:val="true"/>
        </w:trPr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№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Требование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Критерий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Комплексные числа, выражения и точность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Корень из −1 даёт i; 0.1+0.2 даёт 0.3; символьный корень из 8 упрощается.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Устойчивость к ошибкам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Некорректный ввод и тайм-аут не ломают следующий расчёт.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GUI и четыре языка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Работают RU, EN, ES, ZH и независимая настройка цифр вывода.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Сторонние библиотеки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Версии зафиксированы, лицензии указаны, runtime CDN отсутствует.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Кроссплатформенность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Проверены Chromium, Firefox и WebKit; CI работает на трёх ОС.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Инструкции и техническое описание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Описаны запуск, ограничения, компоненты и выпуск.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Переносимость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HTML открывается через file:// без сети.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Удаление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Сеанс очищается, файл удаляется вручную; границы полного стирания указаны.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Снижение затрат на сопровождение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Нет собственного сервера, базы, учётных записей и установщика.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Внутреннее качество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Разделены модули, включена проверка типов и оформлены интерфейсы.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Тесты и покрытие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Есть чёрный и белый ящик, интеграционные, E2E и измеренное покрытие.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Управление проектом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Указаны роли, часы, календарь, Гант и условный бюджет.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Публикация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Сайт и релиз выходят после успешной матрицы проверок.</w:t>
            </w:r>
          </w:p>
        </w:tc>
      </w:tr>
      <w:tr>
        <w:tc>
          <w:tcPr>
            <w:tcW w:type="dxa" w:w="5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Обновления</w:t>
            </w:r>
          </w:p>
        </w:tc>
        <w:tc>
          <w:tcPr>
            <w:tcW w:type="dxa" w:w="549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Проверка по кнопке, ручная замена HTML и откат старым файлом.</w:t>
            </w:r>
          </w:p>
        </w:tc>
      </w:tr>
    </w:tbl>
    <w:p>
      <w:pPr>
        <w:spacing w:after="0"/>
      </w:pPr>
    </w:p>
    <w:p>
      <w:pPr>
        <w:pStyle w:val="Heading1"/>
      </w:pPr>
      <w:r>
        <w:t>Запуск и работа</w:t>
      </w:r>
    </w:p>
    <w:p>
      <w:pPr>
        <w:pStyle w:val="Heading2"/>
      </w:pPr>
      <w:r>
        <w:t>Запуск без установки</w:t>
      </w:r>
    </w:p>
    <w:p>
      <w:pPr>
        <w:ind w:left="397" w:hanging="397"/>
      </w:pPr>
      <w:r>
        <w:t>1.  Скачать radical-lab.html из публичного релиза https://github.com/kotyasmol/radical-lab/releases/latest.</w:t>
      </w:r>
    </w:p>
    <w:p>
      <w:pPr>
        <w:ind w:left="397" w:hanging="397"/>
      </w:pPr>
      <w:r>
        <w:t>2.  Открыть файл в актуальном настольном Chrome, Edge, Firefox или Safari. Интернет для расчётов не нужен.</w:t>
      </w:r>
    </w:p>
    <w:p>
      <w:pPr>
        <w:ind w:left="397" w:hanging="397"/>
      </w:pPr>
      <w:r>
        <w:t>3.  Ввести выражение, выбрать режим и точность, нажать «Вычислить» или Enter.</w:t>
      </w:r>
    </w:p>
    <w:p>
      <w:pPr>
        <w:ind w:left="397" w:hanging="397"/>
      </w:pPr>
      <w:r>
        <w:t>4.  Для переноса скопировать один HTML-файл на другую поддерживаемую машину. Экспорт истории в JSON выполняется отдельно.</w:t>
      </w:r>
    </w:p>
    <w:p>
      <w:r>
        <w:t>Онлайн-версия находится по адресу https://kotyasmol.github.io/radical-lab/. Для её первой загрузки нужна сеть.</w:t>
      </w:r>
    </w:p>
    <w:p>
      <w:pPr>
        <w:pStyle w:val="Heading2"/>
      </w:pPr>
      <w:r>
        <w:t>Числа и ввод</w:t>
      </w:r>
    </w:p>
    <w:p>
      <w:r>
        <w:t>Допускаются точка и запятая как десятичный разделитель. Запись 1,234 означает 1.234, а не тысячу двести тридцать четыре. Знаки −, ×, ÷ и символ π нормализуются. Степень правоассоциативна: 2^3^2 равно 512; -2^2 равно -4. Работают 2i и 2(1+i). Углы задаются в радианах. Корень отрицательного числа возвращает главное комплексное значение.</w:t>
      </w:r>
    </w:p>
    <w:p>
      <w:pPr>
        <w:pStyle w:val="Heading2"/>
      </w:pPr>
      <w:r>
        <w:t>Платформы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123"/>
      </w:tblGrid>
      <w:tr>
        <w:trPr>
          <w:tblHeader w:val="true"/>
        </w:trPr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Система</w:t>
            </w:r>
          </w:p>
        </w:tc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Поддерживаемая конфигурация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Windows 11 x64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Chrome, Edge или Firefox текущей и предыдущей стабильной версии.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macOS 14 и новее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Safari текущей ОС; Chrome или Firefox текущей и предыдущей версии.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Ubuntu 22.04 и новее x64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Chrome или Firefox текущей и предыдущей стабильной версии.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Android и iOS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Адаптивная HTTPS-страница без обязательства работы локального файла.</w:t>
            </w:r>
          </w:p>
        </w:tc>
      </w:tr>
    </w:tbl>
    <w:p>
      <w:pPr>
        <w:spacing w:after="0"/>
      </w:pPr>
    </w:p>
    <w:p>
      <w:r>
        <w:t>Это целевая матрица поддержки. Playwright WebKit не заменяет ручную проверку всех версий Safari.</w:t>
      </w:r>
    </w:p>
    <w:p>
      <w:pPr>
        <w:pStyle w:val="Heading2"/>
      </w:pPr>
      <w:r>
        <w:t>Удаление</w:t>
      </w:r>
    </w:p>
    <w:p>
      <w:pPr>
        <w:ind w:left="397" w:hanging="397"/>
      </w:pPr>
      <w:r>
        <w:t>1.  При необходимости экспортировать историю.</w:t>
      </w:r>
    </w:p>
    <w:p>
      <w:pPr>
        <w:ind w:left="397" w:hanging="397"/>
      </w:pPr>
      <w:r>
        <w:t>2.  Нажать «Завершить сеанс» и закрыть все вкладки приложения.</w:t>
      </w:r>
    </w:p>
    <w:p>
      <w:pPr>
        <w:ind w:left="397" w:hanging="397"/>
      </w:pPr>
      <w:r>
        <w:t>3.  Удалить HTML и его старые копии, а также экспортированные JSON, если они больше не нужны.</w:t>
      </w:r>
    </w:p>
    <w:p>
      <w:pPr>
        <w:ind w:left="397" w:hanging="397"/>
      </w:pPr>
      <w:r>
        <w:t>4.  При необходимости отдельно очистить корзину, историю загрузок, кэш браузера и резервные копии.</w:t>
      </w:r>
    </w:p>
    <w:p>
      <w:r>
        <w:t>Приложение не устанавливает службы и не сохраняет расчёты в cookies или localStorage. Браузер, операционная система и облачная синхронизация могут оставить копии; стопроцентное криминалистическое удаление не обещается.</w:t>
      </w:r>
    </w:p>
    <w:p>
      <w:pPr>
        <w:pStyle w:val="Heading1"/>
      </w:pPr>
      <w:r>
        <w:t>Архитектура и численная модель</w:t>
      </w:r>
    </w:p>
    <w:p>
      <w:r>
        <w:t>Путь вычисления: интерфейс принимает строку, парсер строит дерево выражения, отдельный Web Worker вызывает численное ядро или символьную библиотеку, затем форматировщик возвращает строку результата. Интерфейс не выполняет тяжёлый расчёт в основном потоке. Worker создаётся заново для каждого запроса и прекращает работу после ответа, отмены или тайм-аута.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123"/>
      </w:tblGrid>
      <w:tr>
        <w:trPr>
          <w:tblHeader w:val="true"/>
        </w:trPr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Модуль</w:t>
            </w:r>
          </w:p>
        </w:tc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Ответственность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src/engine/parser.ts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Разбор строки, допустимые операции, ограничения и дерево выражения.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src/engine/numeric.ts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Комплексная десятичная арифметика и главные ветви функций.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src/engine/format.ts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Округление и автоматический либо научный формат.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src/engine/worker.ts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Сообщения между интерфейсом и вычислителем.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src/services/runner.ts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Создание Worker, отмена, тайм-аут и защита от позднего ответа.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src/i18n.ts и src/App.tsx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Словари четырёх языков и управление пользовательским состоянием.</w:t>
            </w:r>
          </w:p>
        </w:tc>
      </w:tr>
    </w:tbl>
    <w:p>
      <w:pPr>
        <w:spacing w:after="0"/>
      </w:pPr>
    </w:p>
    <w:p>
      <w:r>
        <w:t>Комплексное число хранится как пара Decimal: действительная и мнимая части. Числовые литералы читаются из строк, поэтому они не проходят через ограниченный по точности JavaScript Number. Для устойчивого комплексного корня сначала вычисляется большая компонента, затем меньшая. Логарифм и нецелая степень используют главную ветвь.</w:t>
      </w:r>
    </w:p>
    <w:p>
      <w:r>
        <w:t>Первый расчёт ведётся с P+30 значащими цифрами, проверочный — с P+50. Расхождение округлённых результатов вызывает предупреждение. Совпадение не доказывает верность всех P цифр. При вычитании близких чисел значимость может теряться; для строго гарантированной погрешности нужна другая численная методика.</w:t>
      </w:r>
    </w:p>
    <w:p>
      <w:r>
        <w:t>Парсер разрешает только фиксированный набор функций и имён. JavaScript eval не используется. Символьная библиотека получает проверенное выражение, а не произвольный код. Ограничения: до 4096 символов в численном режиме, 512 в символьном, 512 токенов, глубина 64, четыре секунды на запрос. Приложение не предназначено для критически важных расчётов.</w:t>
      </w:r>
    </w:p>
    <w:p>
      <w:pPr>
        <w:pStyle w:val="Heading1"/>
      </w:pPr>
      <w:r>
        <w:t>Проверка качества</w:t>
      </w:r>
    </w:p>
    <w:p>
      <w:r>
        <w:t>Тестирование по принципу чёрного ящика сверяет вход и результат с контрактом. Белый ящик проверяет ветви алгоритмов, состояния Worker, отмену и обработку исключений. Отдельно выполняются интеграционные и сквозные проверки интерфейса.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123"/>
      </w:tblGrid>
      <w:tr>
        <w:trPr>
          <w:tblHeader w:val="true"/>
        </w:trPr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Проверка</w:t>
            </w:r>
          </w:p>
        </w:tc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Содержание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Модульные и интеграционные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229 тестов парсера, арифметики, границ, форматирования и сервисов.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Браузерные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36 запусков: 12 сценариев в Chromium, Firefox и WebKit.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Отказоустойчивость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Тайм-аут, отмена, поздний ответ и успешное вычисление после ошибки.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Офлайн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Запуск сохранённого HTML через file:// без внешних запросов.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Доступность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Проверка выбранных правил WCAG A/AA через axe, клавиатуры и мобильной ширины.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Повторение тестов на Ubuntu, Windows и macOS перед публикацией.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2665"/>
        <w:gridCol w:w="2665"/>
      </w:tblGrid>
      <w:tr>
        <w:trPr>
          <w:tblHeader w:val="true"/>
        </w:trPr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Метрика собственного ядра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Локальный замер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Порог CI</w:t>
            </w:r>
          </w:p>
        </w:tc>
      </w:tr>
      <w:tr>
        <w:tc>
          <w:tcPr>
            <w:tcW w:type="dxa" w:w="36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Строки</w:t>
            </w:r>
          </w:p>
        </w:tc>
        <w:tc>
          <w:tcPr>
            <w:tcW w:type="dxa" w:w="26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98.85%</w:t>
            </w:r>
          </w:p>
        </w:tc>
        <w:tc>
          <w:tcPr>
            <w:tcW w:type="dxa" w:w="26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90%</w:t>
            </w:r>
          </w:p>
        </w:tc>
      </w:tr>
      <w:tr>
        <w:tc>
          <w:tcPr>
            <w:tcW w:type="dxa" w:w="36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Ветви</w:t>
            </w:r>
          </w:p>
        </w:tc>
        <w:tc>
          <w:tcPr>
            <w:tcW w:type="dxa" w:w="26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95.90%</w:t>
            </w:r>
          </w:p>
        </w:tc>
        <w:tc>
          <w:tcPr>
            <w:tcW w:type="dxa" w:w="26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80%</w:t>
            </w:r>
          </w:p>
        </w:tc>
      </w:tr>
      <w:tr>
        <w:tc>
          <w:tcPr>
            <w:tcW w:type="dxa" w:w="36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Функции</w:t>
            </w:r>
          </w:p>
        </w:tc>
        <w:tc>
          <w:tcPr>
            <w:tcW w:type="dxa" w:w="26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6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90%</w:t>
            </w:r>
          </w:p>
        </w:tc>
      </w:tr>
      <w:tr>
        <w:tc>
          <w:tcPr>
            <w:tcW w:type="dxa" w:w="36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Операторы</w:t>
            </w:r>
          </w:p>
        </w:tc>
        <w:tc>
          <w:tcPr>
            <w:tcW w:type="dxa" w:w="26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97.14%</w:t>
            </w:r>
          </w:p>
        </w:tc>
        <w:tc>
          <w:tcPr>
            <w:tcW w:type="dxa" w:w="26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90%</w:t>
            </w:r>
          </w:p>
        </w:tc>
      </w:tr>
    </w:tbl>
    <w:p>
      <w:pPr>
        <w:spacing w:after="0"/>
      </w:pPr>
    </w:p>
    <w:p>
      <w:r>
        <w:t>Проценты относятся к собственному расчётному и сервисному коду, а не ко всему приложению: React-компоненты проверяются браузерными сценариями, сторонние библиотеки не входят в замер. Тесты не доказывают корректность любого математического выражения, десятилетнюю совместимость или полное удаление данных.</w:t>
      </w:r>
    </w:p>
    <w:p>
      <w:pPr>
        <w:pStyle w:val="Heading2"/>
      </w:pPr>
      <w:r>
        <w:t>Команды разработчика</w:t>
      </w:r>
    </w:p>
    <w:p>
      <w:pPr>
        <w:spacing w:after="40"/>
      </w:pPr>
      <w:r>
        <w:rPr>
          <w:rFonts w:ascii="Arial" w:hAnsi="Arial"/>
          <w:sz w:val="18"/>
        </w:rPr>
        <w:t>npm ci</w:t>
      </w:r>
    </w:p>
    <w:p>
      <w:pPr>
        <w:spacing w:after="40"/>
      </w:pPr>
      <w:r>
        <w:rPr>
          <w:rFonts w:ascii="Arial" w:hAnsi="Arial"/>
          <w:sz w:val="18"/>
        </w:rPr>
        <w:t>npm run test:coverage</w:t>
      </w:r>
    </w:p>
    <w:p>
      <w:pPr>
        <w:spacing w:after="40"/>
      </w:pPr>
      <w:r>
        <w:rPr>
          <w:rFonts w:ascii="Arial" w:hAnsi="Arial"/>
          <w:sz w:val="18"/>
        </w:rPr>
        <w:t>npm run build</w:t>
      </w:r>
    </w:p>
    <w:p>
      <w:pPr>
        <w:spacing w:after="40"/>
      </w:pPr>
      <w:r>
        <w:rPr>
          <w:rFonts w:ascii="Arial" w:hAnsi="Arial"/>
          <w:sz w:val="18"/>
        </w:rPr>
        <w:t>npx playwright install --with-deps chromium firefox webkit</w:t>
      </w:r>
    </w:p>
    <w:p>
      <w:pPr>
        <w:spacing w:after="40"/>
      </w:pPr>
      <w:r>
        <w:rPr>
          <w:rFonts w:ascii="Arial" w:hAnsi="Arial"/>
          <w:sz w:val="18"/>
        </w:rPr>
        <w:t>npm run test:e2e</w:t>
      </w:r>
    </w:p>
    <w:p>
      <w:r>
        <w:t>Для разработки требуется Node.js 22.12 или новее из ветки 22 LTS и npm; для пользователя эти инструменты не нужны.</w:t>
      </w:r>
    </w:p>
    <w:p>
      <w:pPr>
        <w:pStyle w:val="Heading1"/>
      </w:pPr>
      <w:r>
        <w:t>Дизайн и доступность</w:t>
      </w:r>
    </w:p>
    <w:p>
      <w:r>
        <w:t>Главный экран сосредоточен на поле выражения и результате. Рядом расположена точность, ниже — примеры и история. На узком экране панель точности уходит под калькулятор. Язык можно изменить без потери введённого выражения. Поля подписаны, ошибки озвучиваются как alerts, результат объявляется через live region; модальные окна поддерживают Escape.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88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8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7"/>
        </w:rPr>
        <w:t>Главный экран приложения на настольном браузере</w:t>
      </w:r>
    </w:p>
    <w:p>
      <w:pPr>
        <w:pStyle w:val="Heading1"/>
      </w:pPr>
      <w:r>
        <w:t>Публикация обновления и сопровождение</w:t>
      </w:r>
    </w:p>
    <w:p>
      <w:r>
        <w:t>GitHub Actions проверяет типы, форматирование, тесты, сборку, браузеры и зависимости на Ubuntu, Windows и macOS. После успешной матрицы готовый HTML публикуется на GitHub Pages. Релизный тег создаёт скачиваемый файл, SHA-256 и перечень лицензий. Неуспешная проверка блокирует новую публикацию.</w:t>
      </w:r>
    </w:p>
    <w:p>
      <w:r>
        <w:t>Проверка обновления запускается только по кнопке и обращается к GitHub за номером последнего стабильного релиза. Выражения и история не отправляются. Пользователь скачивает новый HTML; старый файл можно оставить для отката. Сбой сети не мешает локальным вычислениям.</w:t>
      </w:r>
    </w:p>
    <w:p>
      <w:r>
        <w:t>На каждое исправление выпускается новая версия. Для онлайн-отката код возвращается отдельным коммитом и снова проходит CI; у офлайн-пользователя откат выполняется открытием предыдущего файла. Зависимости и совместимость браузеров надо проверять регулярно. Обещание неизменного кода на десять лет несовместимо с необходимостью исправлять дефекты и уязвимости.</w:t>
      </w:r>
    </w:p>
    <w:p>
      <w:pPr>
        <w:pStyle w:val="Heading1"/>
      </w:pPr>
      <w:r>
        <w:t>Учебный план на две недели</w:t>
      </w:r>
    </w:p>
    <w:p>
      <w:r>
        <w:t>План рассчитан на десять рабочих дней и трёх участников. Это модель организации и оплаты, а не отчёт о фактически отработанных часах или выплаченной зарплате. Из доступных 240 человеко-часов запланированы 200; резерв — 40 часов.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726"/>
        <w:gridCol w:w="964"/>
      </w:tblGrid>
      <w:tr>
        <w:trPr>
          <w:tblHeader w:val="true"/>
        </w:trPr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Роль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Квалификация и зона работы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Часы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— техлид и ядро</w:t>
            </w:r>
          </w:p>
        </w:tc>
        <w:tc>
          <w:tcPr>
            <w:tcW w:type="dxa" w:w="5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TypeScript, численные методы, парсер, интеграция, ревью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72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 — интерфейс</w:t>
            </w:r>
          </w:p>
        </w:tc>
        <w:tc>
          <w:tcPr>
            <w:tcW w:type="dxa" w:w="5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React, CSS, локализация, доступность, адаптивная вёрстка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64</w:t>
            </w:r>
          </w:p>
        </w:tc>
      </w:tr>
      <w:t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 — QA и выпуск</w:t>
            </w:r>
          </w:p>
        </w:tc>
        <w:tc>
          <w:tcPr>
            <w:tcW w:type="dxa" w:w="5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Тест-дизайн, Playwright, CI, документация и приёмка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64</w:t>
            </w:r>
          </w:p>
        </w:tc>
      </w:tr>
    </w:tbl>
    <w:p>
      <w:pPr>
        <w:spacing w:after="0"/>
      </w:pPr>
    </w:p>
    <w:p>
      <w:pPr>
        <w:pStyle w:val="Heading2"/>
      </w:pPr>
      <w:r>
        <w:t>Календарь работ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4365"/>
        <w:gridCol w:w="3061"/>
      </w:tblGrid>
      <w:tr>
        <w:trPr>
          <w:tblHeader w:val="true"/>
        </w:trPr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Период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Работа</w:t>
            </w:r>
          </w:p>
        </w:tc>
        <w:tc>
          <w:tcPr>
            <w:tcW w:type="dxa" w:w="3286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Результат</w:t>
            </w:r>
          </w:p>
        </w:tc>
      </w:tr>
      <w:tr>
        <w:tc>
          <w:tcPr>
            <w:tcW w:type="dxa" w:w="15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Дни 1–2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Требования, риски, архитектура и прототип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Проверяемый контракт</w:t>
            </w:r>
          </w:p>
        </w:tc>
      </w:tr>
      <w:tr>
        <w:tc>
          <w:tcPr>
            <w:tcW w:type="dxa" w:w="15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Дни 2–5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Парсер, численное ядро, интерфейс, локализация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Основной сценарий расчёта</w:t>
            </w:r>
          </w:p>
        </w:tc>
      </w:tr>
      <w:tr>
        <w:tc>
          <w:tcPr>
            <w:tcW w:type="dxa" w:w="15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Дни 4–7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Символьный режим, Worker, интеграция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Обе ветви вычислений</w:t>
            </w:r>
          </w:p>
        </w:tc>
      </w:tr>
      <w:tr>
        <w:tc>
          <w:tcPr>
            <w:tcW w:type="dxa" w:w="15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Дни 5–8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Модульные, системные и офлайн-тесты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Отчёт о проверке</w:t>
            </w:r>
          </w:p>
        </w:tc>
      </w:tr>
      <w:tr>
        <w:tc>
          <w:tcPr>
            <w:tcW w:type="dxa" w:w="15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Дни 8–9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Документация, CI, исправления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Релиз-кандидат</w:t>
            </w:r>
          </w:p>
        </w:tc>
      </w:tr>
      <w:tr>
        <w:tc>
          <w:tcPr>
            <w:tcW w:type="dxa" w:w="15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День 10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Повторная приёмка, выпуск и демонстрация</w:t>
            </w:r>
          </w:p>
        </w:tc>
        <w:tc>
          <w:tcPr>
            <w:tcW w:type="dxa" w:w="30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Публичный релиз</w:t>
            </w:r>
          </w:p>
        </w:tc>
      </w:tr>
    </w:tbl>
    <w:p>
      <w:pPr>
        <w:spacing w:after="0"/>
      </w:pPr>
    </w:p>
    <w:p>
      <w:r>
        <w:t>Критический путь диаграммы Ганта: контракт → ядро → интеграция → системные тесты → исправления → выпуск. Локализация и документация идут параллельно. Ежедневная короткая сверка фиксирует готовый результат и блокеры; после восьмого дня новые функции не добавляются.</w:t>
      </w:r>
    </w:p>
    <w:p>
      <w:pPr>
        <w:pStyle w:val="Heading2"/>
      </w:pPr>
      <w:r>
        <w:t>Условный бюджет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247"/>
        <w:gridCol w:w="2494"/>
        <w:gridCol w:w="2268"/>
      </w:tblGrid>
      <w:tr>
        <w:trPr>
          <w:tblHeader w:val="true"/>
        </w:trPr>
        <w:tc>
          <w:tcPr>
            <w:tcW w:type="dxa" w:w="2465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Роль</w:t>
            </w:r>
          </w:p>
        </w:tc>
        <w:tc>
          <w:tcPr>
            <w:tcW w:type="dxa" w:w="2465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Часы</w:t>
            </w:r>
          </w:p>
        </w:tc>
        <w:tc>
          <w:tcPr>
            <w:tcW w:type="dxa" w:w="2465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Ставка руб. в час</w:t>
            </w:r>
          </w:p>
        </w:tc>
        <w:tc>
          <w:tcPr>
            <w:tcW w:type="dxa" w:w="2465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Сумма руб.</w:t>
            </w:r>
          </w:p>
        </w:tc>
      </w:tr>
      <w:t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1 200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86 400</w:t>
            </w:r>
          </w:p>
        </w:tc>
      </w:tr>
      <w:t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1 000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64 000</w:t>
            </w:r>
          </w:p>
        </w:tc>
      </w:tr>
      <w:t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900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57 600</w:t>
            </w:r>
          </w:p>
        </w:tc>
      </w:tr>
      <w:t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Трудозатраты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208 000</w:t>
            </w:r>
          </w:p>
        </w:tc>
      </w:tr>
      <w:t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Резерв 20%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41 600</w:t>
            </w:r>
          </w:p>
        </w:tc>
      </w:tr>
      <w:t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Итого</w:t>
            </w:r>
          </w:p>
        </w:tc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249 600</w:t>
            </w:r>
          </w:p>
        </w:tc>
      </w:tr>
    </w:tbl>
    <w:p>
      <w:pPr>
        <w:spacing w:after="0"/>
      </w:pPr>
    </w:p>
    <w:p>
      <w:r>
        <w:t>Ставки условные. Налоги, взносы и накладные расходы не включены. Базовая модель сопровождения — 4 часа в месяц по 1 000 руб., то есть 48 000 руб. в год без чрезвычайных исправлений и новых функций.</w:t>
      </w:r>
    </w:p>
    <w:p>
      <w:pPr>
        <w:pStyle w:val="Heading2"/>
      </w:pPr>
      <w:r>
        <w:t>Дальнейшее сопровождение</w:t>
      </w:r>
    </w:p>
    <w:p>
      <w:r>
        <w:t>Первые две недели после выпуска отводятся на блокирующие дефекты. Ежемесячно просматриваются зависимости и сообщения о проблемах; ежеквартально проверяются актуальные браузеры; ежегодно пересматриваются поддерживаемые ОС и возможность повторной сборки. Для обязательства на десять лет нужны назначенный владелец и финансирование.</w:t>
      </w:r>
    </w:p>
    <w:p>
      <w:pPr>
        <w:pStyle w:val="Heading2"/>
      </w:pPr>
      <w:r>
        <w:t>Проверка файла и типичные проблемы</w:t>
      </w:r>
    </w:p>
    <w:p>
      <w:r>
        <w:t>Рядом с релизным HTML опубликован SHA256SUMS.txt. В Windows сумму можно получить командой Get-FileHash .\radical-lab.html -Algorithm SHA256, в macOS — shasum -a 256 radical-lab.html, в Linux — sha256sum -c SHA256SUMS.txt. Сравнивать следует с файлом того же релиза. Контрольная сумма обнаруживает повреждение, но не заменяет проверку доверенного источника скачивания.</w:t>
      </w:r>
    </w:p>
    <w:p>
      <w:pPr>
        <w:pStyle w:val="ListBullet"/>
      </w:pPr>
      <w:r>
        <w:t>Пустая страница: скачать именно файл релиза и открыть его браузером с включённым JavaScript.</w:t>
      </w:r>
    </w:p>
    <w:p>
      <w:pPr>
        <w:pStyle w:val="ListBullet"/>
      </w:pPr>
      <w:r>
        <w:t>Ошибка вычислителя: проверить, не запрещён ли Blob Worker политикой браузера.</w:t>
      </w:r>
    </w:p>
    <w:p>
      <w:pPr>
        <w:pStyle w:val="ListBullet"/>
      </w:pPr>
      <w:r>
        <w:t>Ошибка проверки обновлений: повторить позже; локальные вычисления доступны без GitHub.</w:t>
      </w:r>
    </w:p>
    <w:p>
      <w:pPr>
        <w:pStyle w:val="Heading2"/>
      </w:pPr>
      <w:r>
        <w:t>Основные проектные риски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5726"/>
      </w:tblGrid>
      <w:tr>
        <w:trPr>
          <w:tblHeader w:val="true"/>
        </w:trPr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Риск</w:t>
            </w:r>
          </w:p>
        </w:tc>
        <w:tc>
          <w:tcPr>
            <w:tcW w:type="dxa" w:w="4929"/>
            <w:shd w:fill="E8EE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Мера</w:t>
            </w:r>
          </w:p>
        </w:tc>
      </w:tr>
      <w:tr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Позднее требование C++</w:t>
            </w:r>
          </w:p>
        </w:tc>
        <w:tc>
          <w:tcPr>
            <w:tcW w:type="dxa" w:w="5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Согласовать язык до защиты; перенос ядра потребует отдельной оценки.</w:t>
            </w:r>
          </w:p>
        </w:tc>
      </w:tr>
      <w:tr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Потеря численной точности</w:t>
            </w:r>
          </w:p>
        </w:tc>
        <w:tc>
          <w:tcPr>
            <w:tcW w:type="dxa" w:w="5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Показывать границы метода, сравнивать результаты при повышении P.</w:t>
            </w:r>
          </w:p>
        </w:tc>
      </w:tr>
      <w:tr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Зависание символьного расчёта</w:t>
            </w:r>
          </w:p>
        </w:tc>
        <w:tc>
          <w:tcPr>
            <w:tcW w:type="dxa" w:w="5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Ограничивать ввод и останавливать Worker по тайм-ауту.</w:t>
            </w:r>
          </w:p>
        </w:tc>
      </w:tr>
      <w:tr>
        <w:tc>
          <w:tcPr>
            <w:tcW w:type="dxa" w:w="32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Изменение браузеров</w:t>
            </w:r>
          </w:p>
        </w:tc>
        <w:tc>
          <w:tcPr>
            <w:tcW w:type="dxa" w:w="5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Повторять E2E и хранить проверенный автономный релиз.</w:t>
            </w:r>
          </w:p>
        </w:tc>
      </w:tr>
    </w:tbl>
    <w:p>
      <w:pPr>
        <w:spacing w:after="0"/>
      </w:pPr>
    </w:p>
    <w:p>
      <w:pPr>
        <w:pStyle w:val="Heading1"/>
      </w:pPr>
      <w:r>
        <w:t>Демонстрация проекта</w:t>
      </w:r>
    </w:p>
    <w:p>
      <w:pPr>
        <w:ind w:left="397" w:hanging="397"/>
      </w:pPr>
      <w:r>
        <w:t>1.  Показать sqrt(-1), (2+3i)^2 и настройку 50 цифр для sqrt(2).</w:t>
      </w:r>
    </w:p>
    <w:p>
      <w:pPr>
        <w:ind w:left="397" w:hanging="397"/>
      </w:pPr>
      <w:r>
        <w:t>2.  Переключить символьный режим и вычислить sqrt(8), x+x и 1/3.</w:t>
      </w:r>
    </w:p>
    <w:p>
      <w:pPr>
        <w:ind w:left="397" w:hanging="397"/>
      </w:pPr>
      <w:r>
        <w:t>3.  Ввести 1/0, затем корректное выражение и показать восстановление после ошибки.</w:t>
      </w:r>
    </w:p>
    <w:p>
      <w:pPr>
        <w:ind w:left="397" w:hanging="397"/>
      </w:pPr>
      <w:r>
        <w:t>4.  Переключить четыре языка, проверить историю, экспорт и очистку сеанса.</w:t>
      </w:r>
    </w:p>
    <w:p>
      <w:pPr>
        <w:ind w:left="397" w:hanging="397"/>
      </w:pPr>
      <w:r>
        <w:t>5.  Открыть скачанный HTML без сети, затем показать успешную CI, покрытие, план и выпуск.</w:t>
      </w:r>
    </w:p>
    <w:sectPr w:rsidR="00FC693F" w:rsidRPr="0006063C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rial" w:hAnsi="Arial" w:eastAsia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Radical Lab проектная документация</dc:title>
  <dc:subject>Документация версии 1.0.0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