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KKEVO Tech company formation and Kkevo Family board decisions</w:t>
      </w:r>
    </w:p>
    <w:p>
      <w:r>
        <w:t>Document KKT GOV 001 | Version 0.1 | 5 October 2026 | Confidential | Proposed for approval</w:t>
      </w:r>
    </w:p>
    <w:p>
      <w:r>
        <w:t>KKEVO Tech is not yet registered. The founders must establish the company, document ownership of Kkevo Family, and approve its data practices before a public release. This pack supplies proposed policies, working legal instruments, operating procedures and records for that process. It does not record completed incorporation, regulatory approval or a decision to launch.</w:t>
      </w:r>
    </w:p>
    <w:p>
      <w:pPr>
        <w:pStyle w:val="Heading1"/>
      </w:pPr>
      <w:r>
        <w:t>The decision requested</w:t>
      </w:r>
    </w:p>
    <w:p>
      <w:r>
        <w:t>Approve preparation of a Cameroon company and a restricted Kkevo Family launch program, subject to counsel validation, registration, the required data-processing permissions, funded operations and the release evidence in document 07. App development may continue with synthetic records while these conditions are resolved. Real family records must not be moved into an unapproved production service.</w:t>
      </w:r>
    </w:p>
    <w:p>
      <w:r>
        <w:t>The term board means the founders' oversight group until the chosen legal structure establishes its powers. If a SARL is selected, shareholder decisions and the legal manager retain their statutory powers. An internal committee cannot confer legal existence on the company or replace decisions reserved to shareholders. The manager must execute contracts and filings within valid authority.</w:t>
      </w:r>
    </w:p>
    <w:p>
      <w:pPr>
        <w:pStyle w:val="Heading1"/>
      </w:pPr>
      <w:r>
        <w:t>The document 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4365"/>
        <w:gridCol w:w="3231"/>
      </w:tblGrid>
      <w:tr>
        <w:trPr>
          <w:cantSplit/>
          <w:tblHeader/>
        </w:trPr>
        <w:tc>
          <w:tcPr>
            <w:tcW w:type="dxa" w:w="2041"/>
            <w:vAlign w:val="center"/>
            <w:shd w:fill="163957"/>
            <w:tcMar>
              <w:top w:w="95" w:type="dxa"/>
              <w:bottom w:w="95" w:type="dxa"/>
              <w:left w:w="110" w:type="dxa"/>
              <w:right w:w="110" w:type="dxa"/>
            </w:tcMar>
          </w:tcPr>
          <w:p>
            <w:pPr>
              <w:spacing w:after="0" w:line="259" w:lineRule="auto"/>
            </w:pPr>
            <w:r>
              <w:rPr>
                <w:b/>
                <w:color w:val="FFFFFF"/>
                <w:sz w:val="19"/>
              </w:rPr>
              <w:t>Code</w:t>
            </w:r>
          </w:p>
        </w:tc>
        <w:tc>
          <w:tcPr>
            <w:tcW w:type="dxa" w:w="4365"/>
            <w:vAlign w:val="center"/>
            <w:shd w:fill="163957"/>
            <w:tcMar>
              <w:top w:w="95" w:type="dxa"/>
              <w:bottom w:w="95" w:type="dxa"/>
              <w:left w:w="110" w:type="dxa"/>
              <w:right w:w="110" w:type="dxa"/>
            </w:tcMar>
          </w:tcPr>
          <w:p>
            <w:pPr>
              <w:spacing w:after="0" w:line="259" w:lineRule="auto"/>
            </w:pPr>
            <w:r>
              <w:rPr>
                <w:b/>
                <w:color w:val="FFFFFF"/>
                <w:sz w:val="19"/>
              </w:rPr>
              <w:t>Document</w:t>
            </w:r>
          </w:p>
        </w:tc>
        <w:tc>
          <w:tcPr>
            <w:tcW w:type="dxa" w:w="3231"/>
            <w:vAlign w:val="center"/>
            <w:shd w:fill="163957"/>
            <w:tcMar>
              <w:top w:w="95" w:type="dxa"/>
              <w:bottom w:w="95" w:type="dxa"/>
              <w:left w:w="110" w:type="dxa"/>
              <w:right w:w="110" w:type="dxa"/>
            </w:tcMar>
          </w:tcPr>
          <w:p>
            <w:pPr>
              <w:spacing w:after="0" w:line="259" w:lineRule="auto"/>
            </w:pPr>
            <w:r>
              <w:rPr>
                <w:b/>
                <w:color w:val="FFFFFF"/>
                <w:sz w:val="19"/>
              </w:rPr>
              <w:t>Decision or use</w:t>
            </w:r>
          </w:p>
        </w:tc>
      </w:tr>
      <w:tr>
        <w:trPr>
          <w:cantSplit/>
        </w:trPr>
        <w:tc>
          <w:tcPr>
            <w:tcW w:type="dxa" w:w="2041"/>
            <w:vAlign w:val="center"/>
            <w:shd w:fill="FFFFFF"/>
            <w:tcMar>
              <w:top w:w="95" w:type="dxa"/>
              <w:bottom w:w="95" w:type="dxa"/>
              <w:left w:w="110" w:type="dxa"/>
              <w:right w:w="110" w:type="dxa"/>
            </w:tcMar>
          </w:tcPr>
          <w:p>
            <w:pPr>
              <w:spacing w:after="0" w:line="259" w:lineRule="auto"/>
            </w:pPr>
            <w:r>
              <w:rPr>
                <w:color w:val="000000"/>
                <w:sz w:val="19"/>
              </w:rPr>
              <w:t>00</w:t>
            </w:r>
          </w:p>
        </w:tc>
        <w:tc>
          <w:tcPr>
            <w:tcW w:type="dxa" w:w="4365"/>
            <w:vAlign w:val="center"/>
            <w:shd w:fill="FFFFFF"/>
            <w:tcMar>
              <w:top w:w="95" w:type="dxa"/>
              <w:bottom w:w="95" w:type="dxa"/>
              <w:left w:w="110" w:type="dxa"/>
              <w:right w:w="110" w:type="dxa"/>
            </w:tcMar>
          </w:tcPr>
          <w:p>
            <w:pPr>
              <w:spacing w:after="0" w:line="259" w:lineRule="auto"/>
            </w:pPr>
            <w:r>
              <w:rPr>
                <w:color w:val="000000"/>
                <w:sz w:val="19"/>
              </w:rPr>
              <w:t>Board decisions and company formation plan</w:t>
            </w:r>
          </w:p>
        </w:tc>
        <w:tc>
          <w:tcPr>
            <w:tcW w:type="dxa" w:w="3231"/>
            <w:vAlign w:val="center"/>
            <w:shd w:fill="FFFFFF"/>
            <w:tcMar>
              <w:top w:w="95" w:type="dxa"/>
              <w:bottom w:w="95" w:type="dxa"/>
              <w:left w:w="110" w:type="dxa"/>
              <w:right w:w="110" w:type="dxa"/>
            </w:tcMar>
          </w:tcPr>
          <w:p>
            <w:pPr>
              <w:spacing w:after="0" w:line="259" w:lineRule="auto"/>
            </w:pPr>
            <w:r>
              <w:rPr>
                <w:color w:val="000000"/>
                <w:sz w:val="19"/>
              </w:rPr>
              <w:t>Approve scope, appointments, funding and conditions</w:t>
            </w:r>
          </w:p>
        </w:tc>
      </w:tr>
      <w:tr>
        <w:trPr>
          <w:cantSplit/>
        </w:trPr>
        <w:tc>
          <w:tcPr>
            <w:tcW w:type="dxa" w:w="2041"/>
            <w:vAlign w:val="center"/>
            <w:shd w:fill="EFF3F7"/>
            <w:tcMar>
              <w:top w:w="95" w:type="dxa"/>
              <w:bottom w:w="95" w:type="dxa"/>
              <w:left w:w="110" w:type="dxa"/>
              <w:right w:w="110" w:type="dxa"/>
            </w:tcMar>
          </w:tcPr>
          <w:p>
            <w:pPr>
              <w:spacing w:after="0" w:line="259" w:lineRule="auto"/>
            </w:pPr>
            <w:r>
              <w:rPr>
                <w:color w:val="000000"/>
                <w:sz w:val="19"/>
              </w:rPr>
              <w:t>01</w:t>
            </w:r>
          </w:p>
        </w:tc>
        <w:tc>
          <w:tcPr>
            <w:tcW w:type="dxa" w:w="4365"/>
            <w:vAlign w:val="center"/>
            <w:shd w:fill="EFF3F7"/>
            <w:tcMar>
              <w:top w:w="95" w:type="dxa"/>
              <w:bottom w:w="95" w:type="dxa"/>
              <w:left w:w="110" w:type="dxa"/>
              <w:right w:w="110" w:type="dxa"/>
            </w:tcMar>
          </w:tcPr>
          <w:p>
            <w:pPr>
              <w:spacing w:after="0" w:line="259" w:lineRule="auto"/>
            </w:pPr>
            <w:r>
              <w:rPr>
                <w:color w:val="000000"/>
                <w:sz w:val="19"/>
              </w:rPr>
              <w:t>Cameroon company registration dossier</w:t>
            </w:r>
          </w:p>
        </w:tc>
        <w:tc>
          <w:tcPr>
            <w:tcW w:type="dxa" w:w="3231"/>
            <w:vAlign w:val="center"/>
            <w:shd w:fill="EFF3F7"/>
            <w:tcMar>
              <w:top w:w="95" w:type="dxa"/>
              <w:bottom w:w="95" w:type="dxa"/>
              <w:left w:w="110" w:type="dxa"/>
              <w:right w:w="110" w:type="dxa"/>
            </w:tcMar>
          </w:tcPr>
          <w:p>
            <w:pPr>
              <w:spacing w:after="0" w:line="259" w:lineRule="auto"/>
            </w:pPr>
            <w:r>
              <w:rPr>
                <w:color w:val="000000"/>
                <w:sz w:val="19"/>
              </w:rPr>
              <w:t>Select legal form and complete founder instruments</w:t>
            </w:r>
          </w:p>
        </w:tc>
      </w:tr>
      <w:tr>
        <w:trPr>
          <w:cantSplit/>
        </w:trPr>
        <w:tc>
          <w:tcPr>
            <w:tcW w:type="dxa" w:w="2041"/>
            <w:vAlign w:val="center"/>
            <w:shd w:fill="FFFFFF"/>
            <w:tcMar>
              <w:top w:w="95" w:type="dxa"/>
              <w:bottom w:w="95" w:type="dxa"/>
              <w:left w:w="110" w:type="dxa"/>
              <w:right w:w="110" w:type="dxa"/>
            </w:tcMar>
          </w:tcPr>
          <w:p>
            <w:pPr>
              <w:spacing w:after="0" w:line="259" w:lineRule="auto"/>
            </w:pPr>
            <w:r>
              <w:rPr>
                <w:color w:val="000000"/>
                <w:sz w:val="19"/>
              </w:rPr>
              <w:t>02</w:t>
            </w:r>
          </w:p>
        </w:tc>
        <w:tc>
          <w:tcPr>
            <w:tcW w:type="dxa" w:w="4365"/>
            <w:vAlign w:val="center"/>
            <w:shd w:fill="FFFFFF"/>
            <w:tcMar>
              <w:top w:w="95" w:type="dxa"/>
              <w:bottom w:w="95" w:type="dxa"/>
              <w:left w:w="110" w:type="dxa"/>
              <w:right w:w="110" w:type="dxa"/>
            </w:tcMar>
          </w:tcPr>
          <w:p>
            <w:pPr>
              <w:spacing w:after="0" w:line="259" w:lineRule="auto"/>
            </w:pPr>
            <w:r>
              <w:rPr>
                <w:color w:val="000000"/>
                <w:sz w:val="19"/>
              </w:rPr>
              <w:t>Data governance and processing assessment</w:t>
            </w:r>
          </w:p>
        </w:tc>
        <w:tc>
          <w:tcPr>
            <w:tcW w:type="dxa" w:w="3231"/>
            <w:vAlign w:val="center"/>
            <w:shd w:fill="FFFFFF"/>
            <w:tcMar>
              <w:top w:w="95" w:type="dxa"/>
              <w:bottom w:w="95" w:type="dxa"/>
              <w:left w:w="110" w:type="dxa"/>
              <w:right w:w="110" w:type="dxa"/>
            </w:tcMar>
          </w:tcPr>
          <w:p>
            <w:pPr>
              <w:spacing w:after="0" w:line="259" w:lineRule="auto"/>
            </w:pPr>
            <w:r>
              <w:rPr>
                <w:color w:val="000000"/>
                <w:sz w:val="19"/>
              </w:rPr>
              <w:t>Validate data permissions, inventory, risk and retention</w:t>
            </w:r>
          </w:p>
        </w:tc>
      </w:tr>
      <w:tr>
        <w:trPr>
          <w:cantSplit/>
        </w:trPr>
        <w:tc>
          <w:tcPr>
            <w:tcW w:type="dxa" w:w="2041"/>
            <w:vAlign w:val="center"/>
            <w:shd w:fill="EFF3F7"/>
            <w:tcMar>
              <w:top w:w="95" w:type="dxa"/>
              <w:bottom w:w="95" w:type="dxa"/>
              <w:left w:w="110" w:type="dxa"/>
              <w:right w:w="110" w:type="dxa"/>
            </w:tcMar>
          </w:tcPr>
          <w:p>
            <w:pPr>
              <w:spacing w:after="0" w:line="259" w:lineRule="auto"/>
            </w:pPr>
            <w:r>
              <w:rPr>
                <w:color w:val="000000"/>
                <w:sz w:val="19"/>
              </w:rPr>
              <w:t>03</w:t>
            </w:r>
          </w:p>
        </w:tc>
        <w:tc>
          <w:tcPr>
            <w:tcW w:type="dxa" w:w="4365"/>
            <w:vAlign w:val="center"/>
            <w:shd w:fill="EFF3F7"/>
            <w:tcMar>
              <w:top w:w="95" w:type="dxa"/>
              <w:bottom w:w="95" w:type="dxa"/>
              <w:left w:w="110" w:type="dxa"/>
              <w:right w:w="110" w:type="dxa"/>
            </w:tcMar>
          </w:tcPr>
          <w:p>
            <w:pPr>
              <w:spacing w:after="0" w:line="259" w:lineRule="auto"/>
            </w:pPr>
            <w:r>
              <w:rPr>
                <w:color w:val="000000"/>
                <w:sz w:val="19"/>
              </w:rPr>
              <w:t>English and French user notices and terms</w:t>
            </w:r>
          </w:p>
        </w:tc>
        <w:tc>
          <w:tcPr>
            <w:tcW w:type="dxa" w:w="3231"/>
            <w:vAlign w:val="center"/>
            <w:shd w:fill="EFF3F7"/>
            <w:tcMar>
              <w:top w:w="95" w:type="dxa"/>
              <w:bottom w:w="95" w:type="dxa"/>
              <w:left w:w="110" w:type="dxa"/>
              <w:right w:w="110" w:type="dxa"/>
            </w:tcMar>
          </w:tcPr>
          <w:p>
            <w:pPr>
              <w:spacing w:after="0" w:line="259" w:lineRule="auto"/>
            </w:pPr>
            <w:r>
              <w:rPr>
                <w:color w:val="000000"/>
                <w:sz w:val="19"/>
              </w:rPr>
              <w:t>Approve accurate notices before publication</w:t>
            </w:r>
          </w:p>
        </w:tc>
      </w:tr>
      <w:tr>
        <w:trPr>
          <w:cantSplit/>
        </w:trPr>
        <w:tc>
          <w:tcPr>
            <w:tcW w:type="dxa" w:w="2041"/>
            <w:vAlign w:val="center"/>
            <w:shd w:fill="FFFFFF"/>
            <w:tcMar>
              <w:top w:w="95" w:type="dxa"/>
              <w:bottom w:w="95" w:type="dxa"/>
              <w:left w:w="110" w:type="dxa"/>
              <w:right w:w="110" w:type="dxa"/>
            </w:tcMar>
          </w:tcPr>
          <w:p>
            <w:pPr>
              <w:spacing w:after="0" w:line="259" w:lineRule="auto"/>
            </w:pPr>
            <w:r>
              <w:rPr>
                <w:color w:val="000000"/>
                <w:sz w:val="19"/>
              </w:rPr>
              <w:t>04</w:t>
            </w:r>
          </w:p>
        </w:tc>
        <w:tc>
          <w:tcPr>
            <w:tcW w:type="dxa" w:w="4365"/>
            <w:vAlign w:val="center"/>
            <w:shd w:fill="FFFFFF"/>
            <w:tcMar>
              <w:top w:w="95" w:type="dxa"/>
              <w:bottom w:w="95" w:type="dxa"/>
              <w:left w:w="110" w:type="dxa"/>
              <w:right w:w="110" w:type="dxa"/>
            </w:tcMar>
          </w:tcPr>
          <w:p>
            <w:pPr>
              <w:spacing w:after="0" w:line="259" w:lineRule="auto"/>
            </w:pPr>
            <w:r>
              <w:rPr>
                <w:color w:val="000000"/>
                <w:sz w:val="19"/>
              </w:rPr>
              <w:t>Data rights and family content procedures</w:t>
            </w:r>
          </w:p>
        </w:tc>
        <w:tc>
          <w:tcPr>
            <w:tcW w:type="dxa" w:w="3231"/>
            <w:vAlign w:val="center"/>
            <w:shd w:fill="FFFFFF"/>
            <w:tcMar>
              <w:top w:w="95" w:type="dxa"/>
              <w:bottom w:w="95" w:type="dxa"/>
              <w:left w:w="110" w:type="dxa"/>
              <w:right w:w="110" w:type="dxa"/>
            </w:tcMar>
          </w:tcPr>
          <w:p>
            <w:pPr>
              <w:spacing w:after="0" w:line="259" w:lineRule="auto"/>
            </w:pPr>
            <w:r>
              <w:rPr>
                <w:color w:val="000000"/>
                <w:sz w:val="19"/>
              </w:rPr>
              <w:t>Operate corrections, reports, erasure and disputes</w:t>
            </w:r>
          </w:p>
        </w:tc>
      </w:tr>
      <w:tr>
        <w:trPr>
          <w:cantSplit/>
        </w:trPr>
        <w:tc>
          <w:tcPr>
            <w:tcW w:type="dxa" w:w="2041"/>
            <w:vAlign w:val="center"/>
            <w:shd w:fill="EFF3F7"/>
            <w:tcMar>
              <w:top w:w="95" w:type="dxa"/>
              <w:bottom w:w="95" w:type="dxa"/>
              <w:left w:w="110" w:type="dxa"/>
              <w:right w:w="110" w:type="dxa"/>
            </w:tcMar>
          </w:tcPr>
          <w:p>
            <w:pPr>
              <w:spacing w:after="0" w:line="259" w:lineRule="auto"/>
            </w:pPr>
            <w:r>
              <w:rPr>
                <w:color w:val="000000"/>
                <w:sz w:val="19"/>
              </w:rPr>
              <w:t>05</w:t>
            </w:r>
          </w:p>
        </w:tc>
        <w:tc>
          <w:tcPr>
            <w:tcW w:type="dxa" w:w="4365"/>
            <w:vAlign w:val="center"/>
            <w:shd w:fill="EFF3F7"/>
            <w:tcMar>
              <w:top w:w="95" w:type="dxa"/>
              <w:bottom w:w="95" w:type="dxa"/>
              <w:left w:w="110" w:type="dxa"/>
              <w:right w:w="110" w:type="dxa"/>
            </w:tcMar>
          </w:tcPr>
          <w:p>
            <w:pPr>
              <w:spacing w:after="0" w:line="259" w:lineRule="auto"/>
            </w:pPr>
            <w:r>
              <w:rPr>
                <w:color w:val="000000"/>
                <w:sz w:val="19"/>
              </w:rPr>
              <w:t>Security and incident procedures</w:t>
            </w:r>
          </w:p>
        </w:tc>
        <w:tc>
          <w:tcPr>
            <w:tcW w:type="dxa" w:w="3231"/>
            <w:vAlign w:val="center"/>
            <w:shd w:fill="EFF3F7"/>
            <w:tcMar>
              <w:top w:w="95" w:type="dxa"/>
              <w:bottom w:w="95" w:type="dxa"/>
              <w:left w:w="110" w:type="dxa"/>
              <w:right w:w="110" w:type="dxa"/>
            </w:tcMar>
          </w:tcPr>
          <w:p>
            <w:pPr>
              <w:spacing w:after="0" w:line="259" w:lineRule="auto"/>
            </w:pPr>
            <w:r>
              <w:rPr>
                <w:color w:val="000000"/>
                <w:sz w:val="19"/>
              </w:rPr>
              <w:t>Establish controls, response and recovery</w:t>
            </w:r>
          </w:p>
        </w:tc>
      </w:tr>
      <w:tr>
        <w:trPr>
          <w:cantSplit/>
        </w:trPr>
        <w:tc>
          <w:tcPr>
            <w:tcW w:type="dxa" w:w="2041"/>
            <w:vAlign w:val="center"/>
            <w:shd w:fill="FFFFFF"/>
            <w:tcMar>
              <w:top w:w="95" w:type="dxa"/>
              <w:bottom w:w="95" w:type="dxa"/>
              <w:left w:w="110" w:type="dxa"/>
              <w:right w:w="110" w:type="dxa"/>
            </w:tcMar>
          </w:tcPr>
          <w:p>
            <w:pPr>
              <w:spacing w:after="0" w:line="259" w:lineRule="auto"/>
            </w:pPr>
            <w:r>
              <w:rPr>
                <w:color w:val="000000"/>
                <w:sz w:val="19"/>
              </w:rPr>
              <w:t>06</w:t>
            </w:r>
          </w:p>
        </w:tc>
        <w:tc>
          <w:tcPr>
            <w:tcW w:type="dxa" w:w="4365"/>
            <w:vAlign w:val="center"/>
            <w:shd w:fill="FFFFFF"/>
            <w:tcMar>
              <w:top w:w="95" w:type="dxa"/>
              <w:bottom w:w="95" w:type="dxa"/>
              <w:left w:w="110" w:type="dxa"/>
              <w:right w:w="110" w:type="dxa"/>
            </w:tcMar>
          </w:tcPr>
          <w:p>
            <w:pPr>
              <w:spacing w:after="0" w:line="259" w:lineRule="auto"/>
            </w:pPr>
            <w:r>
              <w:rPr>
                <w:color w:val="000000"/>
                <w:sz w:val="19"/>
              </w:rPr>
              <w:t>Supplier and personnel agreements</w:t>
            </w:r>
          </w:p>
        </w:tc>
        <w:tc>
          <w:tcPr>
            <w:tcW w:type="dxa" w:w="3231"/>
            <w:vAlign w:val="center"/>
            <w:shd w:fill="FFFFFF"/>
            <w:tcMar>
              <w:top w:w="95" w:type="dxa"/>
              <w:bottom w:w="95" w:type="dxa"/>
              <w:left w:w="110" w:type="dxa"/>
              <w:right w:w="110" w:type="dxa"/>
            </w:tcMar>
          </w:tcPr>
          <w:p>
            <w:pPr>
              <w:spacing w:after="0" w:line="259" w:lineRule="auto"/>
            </w:pPr>
            <w:r>
              <w:rPr>
                <w:color w:val="000000"/>
                <w:sz w:val="19"/>
              </w:rPr>
              <w:t>Contract for controlled access and asset ownership</w:t>
            </w:r>
          </w:p>
        </w:tc>
      </w:tr>
      <w:tr>
        <w:trPr>
          <w:cantSplit/>
        </w:trPr>
        <w:tc>
          <w:tcPr>
            <w:tcW w:type="dxa" w:w="2041"/>
            <w:vAlign w:val="center"/>
            <w:shd w:fill="EFF3F7"/>
            <w:tcMar>
              <w:top w:w="95" w:type="dxa"/>
              <w:bottom w:w="95" w:type="dxa"/>
              <w:left w:w="110" w:type="dxa"/>
              <w:right w:w="110" w:type="dxa"/>
            </w:tcMar>
          </w:tcPr>
          <w:p>
            <w:pPr>
              <w:spacing w:after="0" w:line="259" w:lineRule="auto"/>
            </w:pPr>
            <w:r>
              <w:rPr>
                <w:color w:val="000000"/>
                <w:sz w:val="19"/>
              </w:rPr>
              <w:t>07</w:t>
            </w:r>
          </w:p>
        </w:tc>
        <w:tc>
          <w:tcPr>
            <w:tcW w:type="dxa" w:w="4365"/>
            <w:vAlign w:val="center"/>
            <w:shd w:fill="EFF3F7"/>
            <w:tcMar>
              <w:top w:w="95" w:type="dxa"/>
              <w:bottom w:w="95" w:type="dxa"/>
              <w:left w:w="110" w:type="dxa"/>
              <w:right w:w="110" w:type="dxa"/>
            </w:tcMar>
          </w:tcPr>
          <w:p>
            <w:pPr>
              <w:spacing w:after="0" w:line="259" w:lineRule="auto"/>
            </w:pPr>
            <w:r>
              <w:rPr>
                <w:color w:val="000000"/>
                <w:sz w:val="19"/>
              </w:rPr>
              <w:t>Board registers and release acceptance</w:t>
            </w:r>
          </w:p>
        </w:tc>
        <w:tc>
          <w:tcPr>
            <w:tcW w:type="dxa" w:w="3231"/>
            <w:vAlign w:val="center"/>
            <w:shd w:fill="EFF3F7"/>
            <w:tcMar>
              <w:top w:w="95" w:type="dxa"/>
              <w:bottom w:w="95" w:type="dxa"/>
              <w:left w:w="110" w:type="dxa"/>
              <w:right w:w="110" w:type="dxa"/>
            </w:tcMar>
          </w:tcPr>
          <w:p>
            <w:pPr>
              <w:spacing w:after="0" w:line="259" w:lineRule="auto"/>
            </w:pPr>
            <w:r>
              <w:rPr>
                <w:color w:val="000000"/>
                <w:sz w:val="19"/>
              </w:rPr>
              <w:t>Maintain evidence and approve or defer release</w:t>
            </w:r>
          </w:p>
        </w:tc>
      </w:tr>
    </w:tbl>
    <w:p>
      <w:pPr>
        <w:spacing w:after="60"/>
      </w:pPr>
    </w:p>
    <w:p>
      <w:pPr>
        <w:pStyle w:val="Heading1"/>
      </w:pPr>
      <w:r>
        <w:t>Confirmed starting position</w:t>
      </w:r>
    </w:p>
    <w:p>
      <w:r>
        <w:t>Kkevo Family is the Android product intended to launch under KKEVO Tech. Cameroon is the registration country; Central Africa is the intended market region. The recommended first territory is Cameroon, followed by individually approved country entries. No specific regional expansion country is approved by this pack.</w:t>
      </w:r>
    </w:p>
    <w:p>
      <w:r>
        <w:t>The existing app supports private family trees, recorded ancestor suggestions, invitation requests and owner approval, shared profiles, relationships, stories, portraits, JSON transfers, account recovery, content reports and pending deletion requests. Its viewing permissions cover the whole tree rather than a named branch. Account erasure is not yet implemented. Production hosting, real email delivery, public policy resources, support operations and a signed physical-device pilot remain outstanding.</w:t>
      </w:r>
    </w:p>
    <w:p>
      <w:pPr>
        <w:pStyle w:val="Heading1"/>
      </w:pPr>
      <w:r>
        <w:t>Legal review priorities</w:t>
      </w:r>
    </w:p>
    <w:p>
      <w:r>
        <w:t xml:space="preserve">The official Cameroon law makes consent, minors, processing authorization, transfers, security, rights and post-mortem processing material to this product. In particular, sections 9, 19, 22, 29, 30, 32, 33, 38, 45 and 48 require targeted review. Section 36 also raises a classification question for matching across family records. The board must obtain a written assessment of whether the present model can operate lawfully, what permissions are needed and which data must be excluded. Do not assume European contractual or legitimate-interest grounds apply in Cameroon. Do not import a European 72-hour breach clock; section 22 uses immediate notification. Confirm implementing instruments and authority submission channels. </w:t>
      </w:r>
      <w:hyperlink r:id="rId10">
        <w:r>
          <w:rPr>
            <w:color w:val="174778"/>
          </w:rPr>
          <w:t>Official Cameroon personal data law</w:t>
        </w:r>
      </w:hyperlink>
      <w:r/>
    </w:p>
    <w:p>
      <w:pPr>
        <w:pStyle w:val="Heading1"/>
      </w:pPr>
      <w:r>
        <w:t>Formation and launch sequence</w:t>
      </w:r>
    </w:p>
    <w:p>
      <w:pPr>
        <w:pStyle w:val="Heading2"/>
      </w:pPr>
      <w:r>
        <w:t>Phase one founder decisions</w:t>
      </w:r>
    </w:p>
    <w:p>
      <w:r>
        <w:t>Name a formation coordinator and independent counsel. Confirm legal name availability, founders, beneficial ownership information requested by authorities or the bank, legal form, registered office, capital, share allocation, manager, financial year and funding. Prepare an asset inventory covering code, domains, logos and third-party licenses. Obtain counsel's opinion on the family-data model before collecting real records.</w:t>
      </w:r>
    </w:p>
    <w:p>
      <w:r>
        <w:t>Completion evidence: signed founder decisions, completed company particulars, lawyer engagement, approved formation budget and the legal assessment request in document 02. A trade name or website does not establish incorporation.</w:t>
      </w:r>
    </w:p>
    <w:p>
      <w:pPr>
        <w:pStyle w:val="Heading2"/>
      </w:pPr>
      <w:r>
        <w:t>Phase two registration</w:t>
      </w:r>
    </w:p>
    <w:p>
      <w:r>
        <w:t>Validate document 01 with counsel and the competent Centre de Formalités de Création d'Entreprises or registry. Obtain the current official forms, signature/authentication route, capital evidence, copy count, publication requirements and fee quotation. Sign only completed, verified instruments. The authorized formation representative files the dossier and records receipts and any correction requests.</w:t>
      </w:r>
    </w:p>
    <w:p>
      <w:r>
        <w:t>Completion evidence: registration extract, verified legal particulars, tax registration evidence and any other outputs confirmed by the competent authorities. Maintain a separate record of employer obligations when employment begins. No fixed registration duration or fee is promised here.</w:t>
      </w:r>
    </w:p>
    <w:p>
      <w:pPr>
        <w:pStyle w:val="Heading2"/>
      </w:pPr>
      <w:r>
        <w:t>Phase three company operational setup</w:t>
      </w:r>
    </w:p>
    <w:p>
      <w:r>
        <w:t>Open company financial and service accounts, transfer or license pre-existing assets under document 06, and formally assume approved pre-incorporation commitments where legally permitted. Appoint accountable operations, security, privacy and support leads. Configure professional support and privacy contacts, secure company credentials, procurement authority, bookkeeping and records storage.</w:t>
      </w:r>
    </w:p>
    <w:p>
      <w:r>
        <w:t>Completion evidence: executed asset instruments, account custody record, appointment letters, accounting engagement, signed supplier agreements and access register. Review protection of the company and product names through OAPI separately from incorporation.</w:t>
      </w:r>
    </w:p>
    <w:p>
      <w:pPr>
        <w:pStyle w:val="Heading2"/>
      </w:pPr>
      <w:r>
        <w:t>Phase four permission and implementation</w:t>
      </w:r>
    </w:p>
    <w:p>
      <w:r>
        <w:t>Finish the data inventory and impact assessment; obtain required authorizations and written advice on outstanding regulatory process questions. Approve the provider locations, consent evidence, living-relative records, minors, deceased records and matching model. Implement the accepted rules in the API and app, including actual erasure, notice acceptance and operator procedures. Populate and verify the public notice fields.</w:t>
      </w:r>
    </w:p>
    <w:p>
      <w:r>
        <w:t>Completion evidence: legal sign-off, authority receipts/authorizations where required, completed inventory, operational controls and demonstrations that notices describe actual behavior. A vendor contract alone is not transfer authorization.</w:t>
      </w:r>
    </w:p>
    <w:p>
      <w:pPr>
        <w:pStyle w:val="Heading2"/>
      </w:pPr>
      <w:r>
        <w:t>Phase five controlled launch and continuing oversight</w:t>
      </w:r>
    </w:p>
    <w:p>
      <w:r>
        <w:t>Complete signed release testing, an off-device restore, incident and deletion exercises, and a consenting family pilot. The legal manager and authorized decision body review document 07 before approving a gradual Play release. Regional expansion repeats the country assessment, support, language, vendor and permission review.</w:t>
      </w:r>
    </w:p>
    <w:p>
      <w:pPr>
        <w:pStyle w:val="Heading1"/>
      </w:pPr>
      <w:r>
        <w:t>Role appointments for approval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4365"/>
        <w:gridCol w:w="3231"/>
      </w:tblGrid>
      <w:tr>
        <w:trPr>
          <w:cantSplit/>
          <w:tblHeader/>
        </w:trPr>
        <w:tc>
          <w:tcPr>
            <w:tcW w:type="dxa" w:w="2041"/>
            <w:vAlign w:val="center"/>
            <w:shd w:fill="163957"/>
            <w:tcMar>
              <w:top w:w="95" w:type="dxa"/>
              <w:bottom w:w="95" w:type="dxa"/>
              <w:left w:w="110" w:type="dxa"/>
              <w:right w:w="110" w:type="dxa"/>
            </w:tcMar>
          </w:tcPr>
          <w:p>
            <w:pPr>
              <w:spacing w:after="0" w:line="259" w:lineRule="auto"/>
            </w:pPr>
            <w:r>
              <w:rPr>
                <w:b/>
                <w:color w:val="FFFFFF"/>
                <w:sz w:val="19"/>
              </w:rPr>
              <w:t>Role</w:t>
            </w:r>
          </w:p>
        </w:tc>
        <w:tc>
          <w:tcPr>
            <w:tcW w:type="dxa" w:w="4365"/>
            <w:vAlign w:val="center"/>
            <w:shd w:fill="163957"/>
            <w:tcMar>
              <w:top w:w="95" w:type="dxa"/>
              <w:bottom w:w="95" w:type="dxa"/>
              <w:left w:w="110" w:type="dxa"/>
              <w:right w:w="110" w:type="dxa"/>
            </w:tcMar>
          </w:tcPr>
          <w:p>
            <w:pPr>
              <w:spacing w:after="0" w:line="259" w:lineRule="auto"/>
            </w:pPr>
            <w:r>
              <w:rPr>
                <w:b/>
                <w:color w:val="FFFFFF"/>
                <w:sz w:val="19"/>
              </w:rPr>
              <w:t>Accountability</w:t>
            </w:r>
          </w:p>
        </w:tc>
        <w:tc>
          <w:tcPr>
            <w:tcW w:type="dxa" w:w="3231"/>
            <w:vAlign w:val="center"/>
            <w:shd w:fill="163957"/>
            <w:tcMar>
              <w:top w:w="95" w:type="dxa"/>
              <w:bottom w:w="95" w:type="dxa"/>
              <w:left w:w="110" w:type="dxa"/>
              <w:right w:w="110" w:type="dxa"/>
            </w:tcMar>
          </w:tcPr>
          <w:p>
            <w:pPr>
              <w:spacing w:after="0" w:line="259" w:lineRule="auto"/>
            </w:pPr>
            <w:r>
              <w:rPr>
                <w:b/>
                <w:color w:val="FFFFFF"/>
                <w:sz w:val="19"/>
              </w:rPr>
              <w:t>Proposed appointee</w:t>
            </w:r>
          </w:p>
        </w:tc>
      </w:tr>
      <w:tr>
        <w:trPr>
          <w:cantSplit/>
        </w:trPr>
        <w:tc>
          <w:tcPr>
            <w:tcW w:type="dxa" w:w="2041"/>
            <w:vAlign w:val="center"/>
            <w:shd w:fill="FFFFFF"/>
            <w:tcMar>
              <w:top w:w="95" w:type="dxa"/>
              <w:bottom w:w="95" w:type="dxa"/>
              <w:left w:w="110" w:type="dxa"/>
              <w:right w:w="110" w:type="dxa"/>
            </w:tcMar>
          </w:tcPr>
          <w:p>
            <w:pPr>
              <w:spacing w:after="0" w:line="259" w:lineRule="auto"/>
            </w:pPr>
            <w:r>
              <w:rPr>
                <w:color w:val="000000"/>
                <w:sz w:val="19"/>
              </w:rPr>
              <w:t>Formation coordinator</w:t>
            </w:r>
          </w:p>
        </w:tc>
        <w:tc>
          <w:tcPr>
            <w:tcW w:type="dxa" w:w="4365"/>
            <w:vAlign w:val="center"/>
            <w:shd w:fill="FFFFFF"/>
            <w:tcMar>
              <w:top w:w="95" w:type="dxa"/>
              <w:bottom w:w="95" w:type="dxa"/>
              <w:left w:w="110" w:type="dxa"/>
              <w:right w:w="110" w:type="dxa"/>
            </w:tcMar>
          </w:tcPr>
          <w:p>
            <w:pPr>
              <w:spacing w:after="0" w:line="259" w:lineRule="auto"/>
            </w:pPr>
            <w:r>
              <w:rPr>
                <w:color w:val="000000"/>
                <w:sz w:val="19"/>
              </w:rPr>
              <w:t>Complete registration and custody of formation records</w:t>
            </w:r>
          </w:p>
        </w:tc>
        <w:tc>
          <w:tcPr>
            <w:tcW w:type="dxa" w:w="3231"/>
            <w:vAlign w:val="center"/>
            <w:shd w:fill="FFFFFF"/>
            <w:tcMar>
              <w:top w:w="95" w:type="dxa"/>
              <w:bottom w:w="95" w:type="dxa"/>
              <w:left w:w="110" w:type="dxa"/>
              <w:right w:w="110" w:type="dxa"/>
            </w:tcMar>
          </w:tcPr>
          <w:p>
            <w:pPr>
              <w:spacing w:after="0" w:line="259" w:lineRule="auto"/>
            </w:pPr>
            <w:r>
              <w:rPr>
                <w:color w:val="000000"/>
                <w:sz w:val="19"/>
              </w:rPr>
              <w:t>[Name]</w:t>
            </w:r>
          </w:p>
        </w:tc>
      </w:tr>
      <w:tr>
        <w:trPr>
          <w:cantSplit/>
        </w:trPr>
        <w:tc>
          <w:tcPr>
            <w:tcW w:type="dxa" w:w="2041"/>
            <w:vAlign w:val="center"/>
            <w:shd w:fill="EFF3F7"/>
            <w:tcMar>
              <w:top w:w="95" w:type="dxa"/>
              <w:bottom w:w="95" w:type="dxa"/>
              <w:left w:w="110" w:type="dxa"/>
              <w:right w:w="110" w:type="dxa"/>
            </w:tcMar>
          </w:tcPr>
          <w:p>
            <w:pPr>
              <w:spacing w:after="0" w:line="259" w:lineRule="auto"/>
            </w:pPr>
            <w:r>
              <w:rPr>
                <w:color w:val="000000"/>
                <w:sz w:val="19"/>
              </w:rPr>
              <w:t>Legal manager or lawful representative</w:t>
            </w:r>
          </w:p>
        </w:tc>
        <w:tc>
          <w:tcPr>
            <w:tcW w:type="dxa" w:w="4365"/>
            <w:vAlign w:val="center"/>
            <w:shd w:fill="EFF3F7"/>
            <w:tcMar>
              <w:top w:w="95" w:type="dxa"/>
              <w:bottom w:w="95" w:type="dxa"/>
              <w:left w:w="110" w:type="dxa"/>
              <w:right w:w="110" w:type="dxa"/>
            </w:tcMar>
          </w:tcPr>
          <w:p>
            <w:pPr>
              <w:spacing w:after="0" w:line="259" w:lineRule="auto"/>
            </w:pPr>
            <w:r>
              <w:rPr>
                <w:color w:val="000000"/>
                <w:sz w:val="19"/>
              </w:rPr>
              <w:t>Sign within authority and ensure funded operations</w:t>
            </w:r>
          </w:p>
        </w:tc>
        <w:tc>
          <w:tcPr>
            <w:tcW w:type="dxa" w:w="3231"/>
            <w:vAlign w:val="center"/>
            <w:shd w:fill="EFF3F7"/>
            <w:tcMar>
              <w:top w:w="95" w:type="dxa"/>
              <w:bottom w:w="95" w:type="dxa"/>
              <w:left w:w="110" w:type="dxa"/>
              <w:right w:w="110" w:type="dxa"/>
            </w:tcMar>
          </w:tcPr>
          <w:p>
            <w:pPr>
              <w:spacing w:after="0" w:line="259" w:lineRule="auto"/>
            </w:pPr>
            <w:r>
              <w:rPr>
                <w:color w:val="000000"/>
                <w:sz w:val="19"/>
              </w:rPr>
              <w:t>[Name]</w:t>
            </w:r>
          </w:p>
        </w:tc>
      </w:tr>
      <w:tr>
        <w:trPr>
          <w:cantSplit/>
        </w:trPr>
        <w:tc>
          <w:tcPr>
            <w:tcW w:type="dxa" w:w="2041"/>
            <w:vAlign w:val="center"/>
            <w:shd w:fill="FFFFFF"/>
            <w:tcMar>
              <w:top w:w="95" w:type="dxa"/>
              <w:bottom w:w="95" w:type="dxa"/>
              <w:left w:w="110" w:type="dxa"/>
              <w:right w:w="110" w:type="dxa"/>
            </w:tcMar>
          </w:tcPr>
          <w:p>
            <w:pPr>
              <w:spacing w:after="0" w:line="259" w:lineRule="auto"/>
            </w:pPr>
            <w:r>
              <w:rPr>
                <w:color w:val="000000"/>
                <w:sz w:val="19"/>
              </w:rPr>
              <w:t>Privacy lead</w:t>
            </w:r>
          </w:p>
        </w:tc>
        <w:tc>
          <w:tcPr>
            <w:tcW w:type="dxa" w:w="4365"/>
            <w:vAlign w:val="center"/>
            <w:shd w:fill="FFFFFF"/>
            <w:tcMar>
              <w:top w:w="95" w:type="dxa"/>
              <w:bottom w:w="95" w:type="dxa"/>
              <w:left w:w="110" w:type="dxa"/>
              <w:right w:w="110" w:type="dxa"/>
            </w:tcMar>
          </w:tcPr>
          <w:p>
            <w:pPr>
              <w:spacing w:after="0" w:line="259" w:lineRule="auto"/>
            </w:pPr>
            <w:r>
              <w:rPr>
                <w:color w:val="000000"/>
                <w:sz w:val="19"/>
              </w:rPr>
              <w:t>Maintain inventory, permissions, rights cases and notices</w:t>
            </w:r>
          </w:p>
        </w:tc>
        <w:tc>
          <w:tcPr>
            <w:tcW w:type="dxa" w:w="3231"/>
            <w:vAlign w:val="center"/>
            <w:shd w:fill="FFFFFF"/>
            <w:tcMar>
              <w:top w:w="95" w:type="dxa"/>
              <w:bottom w:w="95" w:type="dxa"/>
              <w:left w:w="110" w:type="dxa"/>
              <w:right w:w="110" w:type="dxa"/>
            </w:tcMar>
          </w:tcPr>
          <w:p>
            <w:pPr>
              <w:spacing w:after="0" w:line="259" w:lineRule="auto"/>
            </w:pPr>
            <w:r>
              <w:rPr>
                <w:color w:val="000000"/>
                <w:sz w:val="19"/>
              </w:rPr>
              <w:t>[Name]</w:t>
            </w:r>
          </w:p>
        </w:tc>
      </w:tr>
      <w:tr>
        <w:trPr>
          <w:cantSplit/>
        </w:trPr>
        <w:tc>
          <w:tcPr>
            <w:tcW w:type="dxa" w:w="2041"/>
            <w:vAlign w:val="center"/>
            <w:shd w:fill="EFF3F7"/>
            <w:tcMar>
              <w:top w:w="95" w:type="dxa"/>
              <w:bottom w:w="95" w:type="dxa"/>
              <w:left w:w="110" w:type="dxa"/>
              <w:right w:w="110" w:type="dxa"/>
            </w:tcMar>
          </w:tcPr>
          <w:p>
            <w:pPr>
              <w:spacing w:after="0" w:line="259" w:lineRule="auto"/>
            </w:pPr>
            <w:r>
              <w:rPr>
                <w:color w:val="000000"/>
                <w:sz w:val="19"/>
              </w:rPr>
              <w:t>Security and operations lead</w:t>
            </w:r>
          </w:p>
        </w:tc>
        <w:tc>
          <w:tcPr>
            <w:tcW w:type="dxa" w:w="4365"/>
            <w:vAlign w:val="center"/>
            <w:shd w:fill="EFF3F7"/>
            <w:tcMar>
              <w:top w:w="95" w:type="dxa"/>
              <w:bottom w:w="95" w:type="dxa"/>
              <w:left w:w="110" w:type="dxa"/>
              <w:right w:w="110" w:type="dxa"/>
            </w:tcMar>
          </w:tcPr>
          <w:p>
            <w:pPr>
              <w:spacing w:after="0" w:line="259" w:lineRule="auto"/>
            </w:pPr>
            <w:r>
              <w:rPr>
                <w:color w:val="000000"/>
                <w:sz w:val="19"/>
              </w:rPr>
              <w:t>Access control, incidents, backups and release evidence</w:t>
            </w:r>
          </w:p>
        </w:tc>
        <w:tc>
          <w:tcPr>
            <w:tcW w:type="dxa" w:w="3231"/>
            <w:vAlign w:val="center"/>
            <w:shd w:fill="EFF3F7"/>
            <w:tcMar>
              <w:top w:w="95" w:type="dxa"/>
              <w:bottom w:w="95" w:type="dxa"/>
              <w:left w:w="110" w:type="dxa"/>
              <w:right w:w="110" w:type="dxa"/>
            </w:tcMar>
          </w:tcPr>
          <w:p>
            <w:pPr>
              <w:spacing w:after="0" w:line="259" w:lineRule="auto"/>
            </w:pPr>
            <w:r>
              <w:rPr>
                <w:color w:val="000000"/>
                <w:sz w:val="19"/>
              </w:rPr>
              <w:t>[Name]</w:t>
            </w:r>
          </w:p>
        </w:tc>
      </w:tr>
      <w:tr>
        <w:trPr>
          <w:cantSplit/>
        </w:trPr>
        <w:tc>
          <w:tcPr>
            <w:tcW w:type="dxa" w:w="2041"/>
            <w:vAlign w:val="center"/>
            <w:shd w:fill="FFFFFF"/>
            <w:tcMar>
              <w:top w:w="95" w:type="dxa"/>
              <w:bottom w:w="95" w:type="dxa"/>
              <w:left w:w="110" w:type="dxa"/>
              <w:right w:w="110" w:type="dxa"/>
            </w:tcMar>
          </w:tcPr>
          <w:p>
            <w:pPr>
              <w:spacing w:after="0" w:line="259" w:lineRule="auto"/>
            </w:pPr>
            <w:r>
              <w:rPr>
                <w:color w:val="000000"/>
                <w:sz w:val="19"/>
              </w:rPr>
              <w:t>Support and content lead</w:t>
            </w:r>
          </w:p>
        </w:tc>
        <w:tc>
          <w:tcPr>
            <w:tcW w:type="dxa" w:w="4365"/>
            <w:vAlign w:val="center"/>
            <w:shd w:fill="FFFFFF"/>
            <w:tcMar>
              <w:top w:w="95" w:type="dxa"/>
              <w:bottom w:w="95" w:type="dxa"/>
              <w:left w:w="110" w:type="dxa"/>
              <w:right w:w="110" w:type="dxa"/>
            </w:tcMar>
          </w:tcPr>
          <w:p>
            <w:pPr>
              <w:spacing w:after="0" w:line="259" w:lineRule="auto"/>
            </w:pPr>
            <w:r>
              <w:rPr>
                <w:color w:val="000000"/>
                <w:sz w:val="19"/>
              </w:rPr>
              <w:t>Triage reports, corrections and appeals</w:t>
            </w:r>
          </w:p>
        </w:tc>
        <w:tc>
          <w:tcPr>
            <w:tcW w:type="dxa" w:w="3231"/>
            <w:vAlign w:val="center"/>
            <w:shd w:fill="FFFFFF"/>
            <w:tcMar>
              <w:top w:w="95" w:type="dxa"/>
              <w:bottom w:w="95" w:type="dxa"/>
              <w:left w:w="110" w:type="dxa"/>
              <w:right w:w="110" w:type="dxa"/>
            </w:tcMar>
          </w:tcPr>
          <w:p>
            <w:pPr>
              <w:spacing w:after="0" w:line="259" w:lineRule="auto"/>
            </w:pPr>
            <w:r>
              <w:rPr>
                <w:color w:val="000000"/>
                <w:sz w:val="19"/>
              </w:rPr>
              <w:t>[Name]</w:t>
            </w:r>
          </w:p>
        </w:tc>
      </w:tr>
      <w:tr>
        <w:trPr>
          <w:cantSplit/>
        </w:trPr>
        <w:tc>
          <w:tcPr>
            <w:tcW w:type="dxa" w:w="2041"/>
            <w:vAlign w:val="center"/>
            <w:shd w:fill="EFF3F7"/>
            <w:tcMar>
              <w:top w:w="95" w:type="dxa"/>
              <w:bottom w:w="95" w:type="dxa"/>
              <w:left w:w="110" w:type="dxa"/>
              <w:right w:w="110" w:type="dxa"/>
            </w:tcMar>
          </w:tcPr>
          <w:p>
            <w:pPr>
              <w:spacing w:after="0" w:line="259" w:lineRule="auto"/>
            </w:pPr>
            <w:r>
              <w:rPr>
                <w:color w:val="000000"/>
                <w:sz w:val="19"/>
              </w:rPr>
              <w:t>Board secretary</w:t>
            </w:r>
          </w:p>
        </w:tc>
        <w:tc>
          <w:tcPr>
            <w:tcW w:type="dxa" w:w="4365"/>
            <w:vAlign w:val="center"/>
            <w:shd w:fill="EFF3F7"/>
            <w:tcMar>
              <w:top w:w="95" w:type="dxa"/>
              <w:bottom w:w="95" w:type="dxa"/>
              <w:left w:w="110" w:type="dxa"/>
              <w:right w:w="110" w:type="dxa"/>
            </w:tcMar>
          </w:tcPr>
          <w:p>
            <w:pPr>
              <w:spacing w:after="0" w:line="259" w:lineRule="auto"/>
            </w:pPr>
            <w:r>
              <w:rPr>
                <w:color w:val="000000"/>
                <w:sz w:val="19"/>
              </w:rPr>
              <w:t>Minutes, approvals, conflicts and action tracking</w:t>
            </w:r>
          </w:p>
        </w:tc>
        <w:tc>
          <w:tcPr>
            <w:tcW w:type="dxa" w:w="3231"/>
            <w:vAlign w:val="center"/>
            <w:shd w:fill="EFF3F7"/>
            <w:tcMar>
              <w:top w:w="95" w:type="dxa"/>
              <w:bottom w:w="95" w:type="dxa"/>
              <w:left w:w="110" w:type="dxa"/>
              <w:right w:w="110" w:type="dxa"/>
            </w:tcMar>
          </w:tcPr>
          <w:p>
            <w:pPr>
              <w:spacing w:after="0" w:line="259" w:lineRule="auto"/>
            </w:pPr>
            <w:r>
              <w:rPr>
                <w:color w:val="000000"/>
                <w:sz w:val="19"/>
              </w:rPr>
              <w:t>[Name]</w:t>
            </w:r>
          </w:p>
        </w:tc>
      </w:tr>
    </w:tbl>
    <w:p>
      <w:pPr>
        <w:spacing w:after="60"/>
      </w:pPr>
    </w:p>
    <w:p>
      <w:r>
        <w:t>Privacy lead is an internal appointment. Counsel must determine whether a statutory officer or other formal appointment is required. Roles may be combined, but high-risk deletion, privileged access and payment decisions need a second reviewer. The board must appoint a deputy or external reviewer when staffing is limited.</w:t>
      </w:r>
    </w:p>
    <w:p>
      <w:pPr>
        <w:pStyle w:val="Heading1"/>
      </w:pPr>
      <w:r>
        <w:t>Proposed funding authorization</w:t>
      </w:r>
    </w:p>
    <w:p>
      <w:r>
        <w:t>The founders authorize a ceiling of [amount XAF] for legal and registration preparation, [amount XAF] for hosting and mail, [amount XAF] for security/legal assessments and [amount XAF] for support and pilot operations. No spending authorization is effective until the decision is signed by persons with authority. Quotes, statutory capital, formation fees, recurring expenditure and reserves must be recorded separately.</w:t>
      </w:r>
    </w:p>
    <w:p>
      <w:pPr>
        <w:pStyle w:val="Heading1"/>
      </w:pPr>
      <w:r>
        <w:t>Proposed resolutions</w:t>
      </w:r>
    </w:p>
    <w:p>
      <w:r>
        <w:t>R01 Formation: The founders approve pursuing [legal form] under the proposed name [legal name], subject to availability and counsel validation. [Name] is authorized to prepare the dossier within the approved budget. Filing and representation powers are defined in document 01.</w:t>
      </w:r>
    </w:p>
    <w:p>
      <w:r>
        <w:t>R02 Ownership: The founders direct preparation of an asset register and appropriate assignment or license of Kkevo Family to the incorporated company. The resolution does not transfer relatives' personal data or assign third-party copyrights.</w:t>
      </w:r>
    </w:p>
    <w:p>
      <w:r>
        <w:t>R03 Governance: The lawful decision body appoints the roles above, adopts the committee charter below and approves the eight documents only after their individual approval records are completed. Proposed text does not become effective through circulation alone.</w:t>
      </w:r>
    </w:p>
    <w:p>
      <w:r>
        <w:t>R04 Data conditions: No real production family-data processing or overseas transfer may start until the privacy lead records the lawful route and required permissions. Unresolved living-person, minor, deceased-person or interconnection issues require the relevant workflow to remain excluded from a real-data release.</w:t>
      </w:r>
    </w:p>
    <w:p>
      <w:r>
        <w:t>R05 Release: Public release remains deferred until the documented acceptance conditions are met. Marketing may not claim production readiness, encryption properties, uptime, approvals or family verification beyond the available evidence.</w:t>
      </w:r>
    </w:p>
    <w:p>
      <w:r>
        <w:t>R06 Expansion: Each additional country, new data use, new provider location or material sharing change requires a recorded legal and operational assessment before approval.</w:t>
      </w:r>
    </w:p>
    <w:p>
      <w:r>
        <w:t>Decision body [Founders / shareholders / lawful board]. Meeting date [date]. Present [names]. Notice/quorum/authority [verified basis]. Votes and abstentions [record]. Conflicts and recusals [record]. Approved resolutions [IDs]. Conditions [record]. Chair [signature]. Secretary [signature]. Counsel review [name/date/reference].</w:t>
      </w:r>
    </w:p>
    <w:p>
      <w:pPr>
        <w:pStyle w:val="Heading1"/>
      </w:pPr>
      <w:r>
        <w:t>Internal oversight committee charter</w:t>
      </w:r>
    </w:p>
    <w:p>
      <w:r>
        <w:t>The committee reviews product purpose, data risks, expenditure, operational performance and release evidence. It receives a monthly report during formation and pilot, and a proposed quarterly review thereafter. Extraordinary meetings are convened immediately for suspected unlawful processing, serious incidents or material safety concerns. This cadence is a company proposal, not a statutory meeting calendar.</w:t>
      </w:r>
    </w:p>
    <w:p>
      <w:r>
        <w:t>Members disclose conflicts before decisions, avoid accessing real family records for board reporting, and receive aggregated metrics or redacted case summaries. Decisions name an owner, deadline, conditions and proof of completion. Internal approval does not displace legal manager/shareholder duties or regulator authority. Records remain access-controlled and subject to approved retention and lawful holds.</w:t>
      </w:r>
    </w:p>
    <w:p>
      <w:pPr>
        <w:pStyle w:val="Heading1"/>
      </w:pPr>
      <w:r>
        <w:t>Source and review register</w:t>
      </w:r>
    </w:p>
    <w:p>
      <w:r>
        <w:t>Sources checked on 5 October 2026. Counsel must recheck current requirements before execution.</w:t>
      </w:r>
    </w:p>
    <w:p>
      <w:pPr>
        <w:pStyle w:val="ListBullet"/>
      </w:pPr>
      <w:r/>
      <w:hyperlink r:id="rId11">
        <w:r>
          <w:rPr>
            <w:color w:val="174778"/>
          </w:rPr>
          <w:t>MINPMEESA company creation guidance</w:t>
        </w:r>
      </w:hyperlink>
      <w:r/>
    </w:p>
    <w:p>
      <w:pPr>
        <w:pStyle w:val="ListBullet"/>
      </w:pPr>
      <w:r/>
      <w:hyperlink r:id="rId12">
        <w:r>
          <w:rPr>
            <w:color w:val="174778"/>
          </w:rPr>
          <w:t>OHADA registration guidance</w:t>
        </w:r>
      </w:hyperlink>
      <w:r/>
    </w:p>
    <w:p>
      <w:pPr>
        <w:pStyle w:val="ListBullet"/>
      </w:pPr>
      <w:r/>
      <w:hyperlink r:id="rId13">
        <w:r>
          <w:rPr>
            <w:color w:val="174778"/>
          </w:rPr>
          <w:t>OHADA company law reference</w:t>
        </w:r>
      </w:hyperlink>
      <w:r/>
    </w:p>
    <w:p>
      <w:pPr>
        <w:pStyle w:val="ListBullet"/>
      </w:pPr>
      <w:r/>
      <w:hyperlink r:id="rId14">
        <w:r>
          <w:rPr>
            <w:color w:val="174778"/>
          </w:rPr>
          <w:t>MINPMEESA regulatory framework</w:t>
        </w:r>
      </w:hyperlink>
      <w:r/>
    </w:p>
    <w:p>
      <w:pPr>
        <w:pStyle w:val="ListBullet"/>
      </w:pPr>
      <w:r/>
      <w:hyperlink r:id="rId10">
        <w:r>
          <w:rPr>
            <w:color w:val="174778"/>
          </w:rPr>
          <w:t>Cameroon personal data protection law</w:t>
        </w:r>
      </w:hyperlink>
      <w:r/>
    </w:p>
    <w:p>
      <w:pPr>
        <w:pStyle w:val="ListBullet"/>
      </w:pPr>
      <w:r/>
      <w:hyperlink r:id="rId15">
        <w:r>
          <w:rPr>
            <w:color w:val="174778"/>
          </w:rPr>
          <w:t>ANTIC security audit guidance</w:t>
        </w:r>
      </w:hyperlink>
      <w:r/>
    </w:p>
    <w:p>
      <w:pPr>
        <w:pStyle w:val="ListBullet"/>
      </w:pPr>
      <w:r/>
      <w:hyperlink r:id="rId16">
        <w:r>
          <w:rPr>
            <w:color w:val="174778"/>
          </w:rPr>
          <w:t>OAPI trademark application resources</w:t>
        </w:r>
      </w:hyperlink>
      <w:r/>
    </w:p>
    <w:p>
      <w:pPr>
        <w:pStyle w:val="ListBullet"/>
      </w:pPr>
      <w:r/>
      <w:hyperlink r:id="rId17">
        <w:r>
          <w:rPr>
            <w:color w:val="174778"/>
          </w:rPr>
          <w:t>Google Play user data rules</w:t>
        </w:r>
      </w:hyperlink>
      <w:r/>
    </w:p>
    <w:p>
      <w:pPr>
        <w:pStyle w:val="ListBullet"/>
      </w:pPr>
      <w:r/>
      <w:hyperlink r:id="rId18">
        <w:r>
          <w:rPr>
            <w:color w:val="174778"/>
          </w:rPr>
          <w:t>Google Play account deletion rules</w:t>
        </w:r>
      </w:hyperlink>
      <w:r/>
    </w:p>
    <w:p>
      <w:pPr>
        <w:pStyle w:val="ListBullet"/>
      </w:pPr>
      <w:r/>
      <w:hyperlink r:id="rId19">
        <w:r>
          <w:rPr>
            <w:color w:val="174778"/>
          </w:rPr>
          <w:t>Google Play user generated content rules</w:t>
        </w:r>
      </w:hyperlink>
      <w:r/>
    </w:p>
    <w:p>
      <w:r>
        <w:t>Internal evidence: KKEVO_TECH_CONTEXT.md and PRODUCTION_GAP_CLOSURE_REVIEW.md, dated 5 October 2026. They distinguish local implementation/test results from production evidence.</w:t>
      </w:r>
    </w:p>
    <w:sectPr w:rsidR="00FC693F" w:rsidRPr="0006063C" w:rsidSect="00034616">
      <w:footerReference w:type="default" r:id="rId9"/>
      <w:pgSz w:w="11906" w:h="16838"/>
      <w:pgMar w:top="1049" w:right="1134" w:bottom="1049"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00  |  KKEVO Tech  |  Board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before="0"/>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prc.cm/files/9b/df/2c/e818fedc7d5568778f884ea2886bea7d.pdf" TargetMode="External"/><Relationship Id="rId11" Type="http://schemas.openxmlformats.org/officeDocument/2006/relationships/hyperlink" Target="https://www.minpmeesa.cm/site/inhoud/uploads/2023/11/sopecam2022.pdf" TargetMode="External"/><Relationship Id="rId12" Type="http://schemas.openxmlformats.org/officeDocument/2006/relationships/hyperlink" Target="https://rccm.ohada.org/staticPage/index?alias=immRC" TargetMode="External"/><Relationship Id="rId13" Type="http://schemas.openxmlformats.org/officeDocument/2006/relationships/hyperlink" Target="https://www.ohada.org/droit-des-societes-commerciales-et-du-gie/" TargetMode="External"/><Relationship Id="rId14" Type="http://schemas.openxmlformats.org/officeDocument/2006/relationships/hyperlink" Target="https://www.minpmeesa.cm/site/pme/cadre-reglementaire/" TargetMode="External"/><Relationship Id="rId15" Type="http://schemas.openxmlformats.org/officeDocument/2006/relationships/hyperlink" Target="https://www.antic.cm/index.php/fr/component/k2/item/315-security-audit.html" TargetMode="External"/><Relationship Id="rId16" Type="http://schemas.openxmlformats.org/officeDocument/2006/relationships/hyperlink" Target="https://oapi.int/proteger-la-pi/marque/faire-une-demande/" TargetMode="External"/><Relationship Id="rId17" Type="http://schemas.openxmlformats.org/officeDocument/2006/relationships/hyperlink" Target="https://support.google.com/googleplay/android-developer/answer/10144311?hl=en" TargetMode="External"/><Relationship Id="rId18" Type="http://schemas.openxmlformats.org/officeDocument/2006/relationships/hyperlink" Target="https://support.google.com/googleplay/android-developer/answer/13327111?hl=en" TargetMode="External"/><Relationship Id="rId19" Type="http://schemas.openxmlformats.org/officeDocument/2006/relationships/hyperlink" Target="https://support.google.com/googleplay/android-developer/answer/9876937?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KKEVO Tech company formation and Kkevo Family board decisions</dc:title>
  <dc:subject>Kkevo Family company formation and data governance</dc:subject>
  <dc:creator>KKEVO Tech</dc:creator>
  <cp:keywords/>
  <dc:description>generated by python-docx</dc:description>
  <cp:lastModifiedBy/>
  <cp:revision>1</cp:revision>
  <dcterms:created xsi:type="dcterms:W3CDTF">2013-12-23T23:15:00Z</dcterms:created>
  <dcterms:modified xsi:type="dcterms:W3CDTF">2013-12-23T23:15:00Z</dcterms:modified>
  <cp:category/>
  <cp:version>0.1</cp:version>
</cp:coreProperties>
</file>