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KKEVO Tech Cameroon company registration dossier</w:t>
      </w:r>
    </w:p>
    <w:p>
      <w:r>
        <w:t>Document KKT REG 001 | Version 0.1 | Confidential | Founder instruments for counsel review</w:t>
      </w:r>
    </w:p>
    <w:p>
      <w:r>
        <w:t>The founders must select and register a legal entity before presenting KKEVO Tech as an incorporated company. This dossier contains a formation brief, a proposed SARL articles instrument in French, and supporting founder forms. It is not an official registry form, a certificate or proof that capital has been paid. Missing particulars must be completed and the instruments adapted by Cameroon counsel before signature.</w:t>
      </w:r>
    </w:p>
    <w:p>
      <w:pPr>
        <w:pStyle w:val="Heading1"/>
      </w:pPr>
      <w:r>
        <w:t>Legal form decision</w:t>
      </w:r>
    </w:p>
    <w:p>
      <w:r>
        <w:t>A SARL is the working option for a small operating company. A SAS may merit review if founders require more flexible investor or governance arrangements. An SA is not assumed merely because the founders want a board. Counsel must compare governance, capital, shareholder count, contributions, costs, liability and fundraising plans. If the selected form is not a SARL, replace the articles below rather than altering its title only.</w:t>
      </w:r>
    </w:p>
    <w:p>
      <w:r>
        <w:t>For a SARL, the internal oversight group described in document 00 advises and reviews. Legal management and shareholder powers follow the chosen statutes and applicable law. Record statutory capital and actual operating funding separately.</w:t>
      </w:r>
    </w:p>
    <w:p>
      <w:pPr>
        <w:pStyle w:val="Heading1"/>
      </w:pPr>
      <w:r>
        <w:t>Company particulars to complete</w:t>
      </w:r>
    </w:p>
    <w:p>
      <w:pPr>
        <w:pStyle w:val="ListBullet"/>
      </w:pPr>
      <w:r>
        <w:t>Proposed legal name [KKEVO TECH with legal suffix confirmed by counsel]; availability evidence [reference].</w:t>
      </w:r>
    </w:p>
    <w:p>
      <w:pPr>
        <w:pStyle w:val="ListBullet"/>
      </w:pPr>
      <w:r>
        <w:t>Legal form [decision]; registered office [full Cameroon address]; location plan [attachment]; occupancy evidence [lease/title/permission].</w:t>
      </w:r>
    </w:p>
    <w:p>
      <w:pPr>
        <w:pStyle w:val="ListBullet"/>
      </w:pPr>
      <w:r>
        <w:t>Founders [full names or entity details]; identity documents [secure references]; nationality/residence and authority to subscribe [verified details].</w:t>
      </w:r>
    </w:p>
    <w:p>
      <w:pPr>
        <w:pStyle w:val="ListBullet"/>
      </w:pPr>
      <w:r>
        <w:t>Capital [XAF]; share nominal value [XAF]; number of shares [number]; cash contributions [amount]; contributions in kind [description and valuation route].</w:t>
      </w:r>
    </w:p>
    <w:p>
      <w:pPr>
        <w:pStyle w:val="ListBullet"/>
      </w:pPr>
      <w:r>
        <w:t>Allocation [founder shares and percentages]; paid/unpaid contribution evidence [receipts]; required deposits or certifications [confirmed route].</w:t>
      </w:r>
    </w:p>
    <w:p>
      <w:pPr>
        <w:pStyle w:val="ListBullet"/>
      </w:pPr>
      <w:r>
        <w:t>Proposed manager [identity]; appointment duration/remuneration [decision]; financial year [dates]; proposed duration [years].</w:t>
      </w:r>
    </w:p>
    <w:p>
      <w:pPr>
        <w:pStyle w:val="ListBullet"/>
      </w:pPr>
      <w:r>
        <w:t>Formation representative [name]; filing centre/registry [location]; lawyer/notary [contact]; formation budget [amount].</w:t>
      </w:r>
    </w:p>
    <w:p>
      <w:pPr>
        <w:pStyle w:val="ListBullet"/>
      </w:pPr>
      <w:r>
        <w:t>Required beneficial-owner, tax, employer and bank disclosures [confirmed requirements and evidence].</w:t>
      </w:r>
    </w:p>
    <w:p>
      <w:r>
        <w:t>Store identities in a restricted formation folder. Do not include identity scans, passwords or bank credentials in the board circulation copy.</w:t>
      </w:r>
    </w:p>
    <w:p>
      <w:pPr>
        <w:pStyle w:val="Heading1"/>
      </w:pPr>
      <w:r>
        <w:t>Filing checklist and evidence</w:t>
      </w:r>
    </w:p>
    <w:p>
      <w:r>
        <w:t xml:space="preserve">MINPMEESA guidance identifies signed/stamped articles, a regularity/conformity or subscription/payment declaration, a management list and a signed location plan for commercial companies. OHADA guidance identifies constitutional documents, authorized persons and related registration information. Obtain the current CFCE checklist and official forms; confirm copies, authentication, criminal-record/declaration requirements, foreign-founder evidence, capital formalities, activity permissions, publication and fees for this particular entity. </w:t>
      </w:r>
      <w:hyperlink r:id="rId10">
        <w:r>
          <w:rPr>
            <w:color w:val="174778"/>
          </w:rPr>
          <w:t>MINPMEESA guidance</w:t>
        </w:r>
      </w:hyperlink>
      <w:r>
        <w:t xml:space="preserve"> </w:t>
      </w:r>
      <w:hyperlink r:id="rId11">
        <w:r>
          <w:rPr>
            <w:color w:val="174778"/>
          </w:rPr>
          <w:t>OHADA registration guidance</w:t>
        </w:r>
      </w:hyperlink>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4365"/>
        <w:gridCol w:w="3231"/>
      </w:tblGrid>
      <w:tr>
        <w:trPr>
          <w:cantSplit/>
          <w:tblHeader/>
        </w:trPr>
        <w:tc>
          <w:tcPr>
            <w:tcW w:type="dxa" w:w="2041"/>
            <w:vAlign w:val="center"/>
            <w:shd w:fill="163957"/>
            <w:tcMar>
              <w:top w:w="95" w:type="dxa"/>
              <w:bottom w:w="95" w:type="dxa"/>
              <w:left w:w="110" w:type="dxa"/>
              <w:right w:w="110" w:type="dxa"/>
            </w:tcMar>
          </w:tcPr>
          <w:p>
            <w:pPr>
              <w:spacing w:after="0" w:line="259" w:lineRule="auto"/>
            </w:pPr>
            <w:r>
              <w:rPr>
                <w:b/>
                <w:color w:val="FFFFFF"/>
                <w:sz w:val="19"/>
              </w:rPr>
              <w:t>Evidence</w:t>
            </w:r>
          </w:p>
        </w:tc>
        <w:tc>
          <w:tcPr>
            <w:tcW w:type="dxa" w:w="4365"/>
            <w:vAlign w:val="center"/>
            <w:shd w:fill="163957"/>
            <w:tcMar>
              <w:top w:w="95" w:type="dxa"/>
              <w:bottom w:w="95" w:type="dxa"/>
              <w:left w:w="110" w:type="dxa"/>
              <w:right w:w="110" w:type="dxa"/>
            </w:tcMar>
          </w:tcPr>
          <w:p>
            <w:pPr>
              <w:spacing w:after="0" w:line="259" w:lineRule="auto"/>
            </w:pPr>
            <w:r>
              <w:rPr>
                <w:b/>
                <w:color w:val="FFFFFF"/>
                <w:sz w:val="19"/>
              </w:rPr>
              <w:t>Prepared by</w:t>
            </w:r>
          </w:p>
        </w:tc>
        <w:tc>
          <w:tcPr>
            <w:tcW w:type="dxa" w:w="3231"/>
            <w:vAlign w:val="center"/>
            <w:shd w:fill="163957"/>
            <w:tcMar>
              <w:top w:w="95" w:type="dxa"/>
              <w:bottom w:w="95" w:type="dxa"/>
              <w:left w:w="110" w:type="dxa"/>
              <w:right w:w="110" w:type="dxa"/>
            </w:tcMar>
          </w:tcPr>
          <w:p>
            <w:pPr>
              <w:spacing w:after="0" w:line="259" w:lineRule="auto"/>
            </w:pPr>
            <w:r>
              <w:rPr>
                <w:b/>
                <w:color w:val="FFFFFF"/>
                <w:sz w:val="19"/>
              </w:rPr>
              <w:t>Completion record</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Name and legal form checks</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Counsel and founders</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[Date/reference]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Articles and founder signatures</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Founders under validated route</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[Signed version]</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Capital and contribution evidence</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Founders and competent custodian</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[Receipt/reference]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Office and location documents</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Formation coordinator</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[Attachment]</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Management and identity documents</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Proposed manager</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[Secure references]</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Official filing and required declarations</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Authorized representative</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[Form version and receipt]</w:t>
            </w:r>
          </w:p>
        </w:tc>
      </w:tr>
      <w:tr>
        <w:trPr>
          <w:cantSplit/>
        </w:trPr>
        <w:tc>
          <w:tcPr>
            <w:tcW w:type="dxa" w:w="2041"/>
            <w:vAlign w:val="center"/>
            <w:shd w:fill="FFFFFF"/>
            <w:tcMar>
              <w:top w:w="95" w:type="dxa"/>
              <w:bottom w:w="95" w:type="dxa"/>
              <w:left w:w="110" w:type="dxa"/>
              <w:right w:w="110" w:type="dxa"/>
            </w:tcMar>
          </w:tcPr>
          <w:p>
            <w:pPr>
              <w:spacing w:after="0" w:line="259" w:lineRule="auto"/>
            </w:pPr>
            <w:r>
              <w:rPr>
                <w:color w:val="000000"/>
                <w:sz w:val="19"/>
              </w:rPr>
              <w:t>Publication and additional permissions</w:t>
            </w:r>
          </w:p>
        </w:tc>
        <w:tc>
          <w:tcPr>
            <w:tcW w:type="dxa" w:w="4365"/>
            <w:vAlign w:val="center"/>
            <w:shd w:fill="FFFFFF"/>
            <w:tcMar>
              <w:top w:w="95" w:type="dxa"/>
              <w:bottom w:w="95" w:type="dxa"/>
              <w:left w:w="110" w:type="dxa"/>
              <w:right w:w="110" w:type="dxa"/>
            </w:tcMar>
          </w:tcPr>
          <w:p>
            <w:pPr>
              <w:spacing w:after="0" w:line="259" w:lineRule="auto"/>
            </w:pPr>
            <w:r>
              <w:rPr>
                <w:color w:val="000000"/>
                <w:sz w:val="19"/>
              </w:rPr>
              <w:t>Counsel where applicable</w:t>
            </w:r>
          </w:p>
        </w:tc>
        <w:tc>
          <w:tcPr>
            <w:tcW w:type="dxa" w:w="3231"/>
            <w:vAlign w:val="center"/>
            <w:shd w:fill="FFFFFF"/>
            <w:tcMar>
              <w:top w:w="95" w:type="dxa"/>
              <w:bottom w:w="95" w:type="dxa"/>
              <w:left w:w="110" w:type="dxa"/>
              <w:right w:w="110" w:type="dxa"/>
            </w:tcMar>
          </w:tcPr>
          <w:p>
            <w:pPr>
              <w:spacing w:after="0" w:line="259" w:lineRule="auto"/>
            </w:pPr>
            <w:r>
              <w:rPr>
                <w:color w:val="000000"/>
                <w:sz w:val="19"/>
              </w:rPr>
              <w:t>[Proof or reason not applicable]</w:t>
            </w:r>
          </w:p>
        </w:tc>
      </w:tr>
      <w:tr>
        <w:trPr>
          <w:cantSplit/>
        </w:trPr>
        <w:tc>
          <w:tcPr>
            <w:tcW w:type="dxa" w:w="2041"/>
            <w:vAlign w:val="center"/>
            <w:shd w:fill="EFF3F7"/>
            <w:tcMar>
              <w:top w:w="95" w:type="dxa"/>
              <w:bottom w:w="95" w:type="dxa"/>
              <w:left w:w="110" w:type="dxa"/>
              <w:right w:w="110" w:type="dxa"/>
            </w:tcMar>
          </w:tcPr>
          <w:p>
            <w:pPr>
              <w:spacing w:after="0" w:line="259" w:lineRule="auto"/>
            </w:pPr>
            <w:r>
              <w:rPr>
                <w:color w:val="000000"/>
                <w:sz w:val="19"/>
              </w:rPr>
              <w:t>Registration and tax outputs</w:t>
            </w:r>
          </w:p>
        </w:tc>
        <w:tc>
          <w:tcPr>
            <w:tcW w:type="dxa" w:w="4365"/>
            <w:vAlign w:val="center"/>
            <w:shd w:fill="EFF3F7"/>
            <w:tcMar>
              <w:top w:w="95" w:type="dxa"/>
              <w:bottom w:w="95" w:type="dxa"/>
              <w:left w:w="110" w:type="dxa"/>
              <w:right w:w="110" w:type="dxa"/>
            </w:tcMar>
          </w:tcPr>
          <w:p>
            <w:pPr>
              <w:spacing w:after="0" w:line="259" w:lineRule="auto"/>
            </w:pPr>
            <w:r>
              <w:rPr>
                <w:color w:val="000000"/>
                <w:sz w:val="19"/>
              </w:rPr>
              <w:t>Competent authorities</w:t>
            </w:r>
          </w:p>
        </w:tc>
        <w:tc>
          <w:tcPr>
            <w:tcW w:type="dxa" w:w="3231"/>
            <w:vAlign w:val="center"/>
            <w:shd w:fill="EFF3F7"/>
            <w:tcMar>
              <w:top w:w="95" w:type="dxa"/>
              <w:bottom w:w="95" w:type="dxa"/>
              <w:left w:w="110" w:type="dxa"/>
              <w:right w:w="110" w:type="dxa"/>
            </w:tcMar>
          </w:tcPr>
          <w:p>
            <w:pPr>
              <w:spacing w:after="0" w:line="259" w:lineRule="auto"/>
            </w:pPr>
            <w:r>
              <w:rPr>
                <w:color w:val="000000"/>
                <w:sz w:val="19"/>
              </w:rPr>
              <w:t>[Extract/identifier]</w:t>
            </w:r>
          </w:p>
        </w:tc>
      </w:tr>
    </w:tbl>
    <w:p>
      <w:pPr>
        <w:spacing w:after="60"/>
      </w:pPr>
    </w:p>
    <w:p>
      <w:r>
        <w:t>Do not reproduce a government certificate or invent a registration/tax number. The representative records filing date, receipt, amendments, pending items and authentic outputs. Verify all returned particulars against the signed articles before opening company service accounts.</w:t>
      </w:r>
    </w:p>
    <w:p>
      <w:pPr>
        <w:pStyle w:val="Heading1"/>
      </w:pPr>
      <w:r>
        <w:t>Projet de statuts de SARL</w:t>
      </w:r>
    </w:p>
    <w:p>
      <w:r/>
      <w:r>
        <w:rPr>
          <w:b/>
        </w:rPr>
        <w:t>À compléter et faire valider avant signature. La présente version ne constitue pas une immatriculation. Les choix laissés entre crochets doivent être arrêtés par les associés.</w:t>
      </w:r>
      <w:r/>
    </w:p>
    <w:p>
      <w:pPr>
        <w:pStyle w:val="Heading2"/>
      </w:pPr>
      <w:r>
        <w:t>Article 1 Forme</w:t>
      </w:r>
    </w:p>
    <w:p>
      <w:r>
        <w:t>Il est constitué entre les soussignés une société à responsabilité limitée régie par les textes OHADA et les dispositions camerounaises applicables, ainsi que par les présents statuts. Si un associé unique est retenu, les dispositions relatives aux décisions collectives sont adaptées aux décisions de cet associé, dans les conditions légales.</w:t>
      </w:r>
    </w:p>
    <w:p>
      <w:pPr>
        <w:pStyle w:val="Heading2"/>
      </w:pPr>
      <w:r>
        <w:t>Article 2 Dénomination</w:t>
      </w:r>
    </w:p>
    <w:p>
      <w:r>
        <w:t>La dénomination est [KKEVO TECH]. Les actes destinés aux tiers portent la dénomination, la forme sociale, le capital, le siège et les mentions d'immatriculation exigées. La disponibilité du nom est vérifiée avant dépôt. Kkevo Family est le nom envisagé d'un produit exploité par la société, sous réserve des droits correspondants.</w:t>
      </w:r>
    </w:p>
    <w:p>
      <w:pPr>
        <w:pStyle w:val="Heading2"/>
      </w:pPr>
      <w:r>
        <w:t>Article 3 Objet</w:t>
      </w:r>
    </w:p>
    <w:p>
      <w:r>
        <w:t>La société a pour objet la conception, le développement, l'exploitation et la maintenance de logiciels, applications mobiles et plateformes numériques; les prestations d'ingénierie informatique, de conseil et d'assistance technique; et les activités directement liées à cet objet, dans les limites des autorisations nécessaires. L'exploitation de Kkevo Family demeure subordonnée aux règles de protection des données et aux autorisations requises. Le traitement de données personnelles n'est pas assimilé à un droit de propriété sur ces données.</w:t>
      </w:r>
    </w:p>
    <w:p>
      <w:pPr>
        <w:pStyle w:val="Heading2"/>
      </w:pPr>
      <w:r>
        <w:t>Article 4 Siège social</w:t>
      </w:r>
    </w:p>
    <w:p>
      <w:r>
        <w:t>Le siège est fixé à [adresse complète, ville, Cameroun]. Tout transfert est décidé par l'organe compétent selon la loi et donne lieu aux mises à jour, notifications et formalités requises. Le titre d'occupation et le plan de localisation sont annexés au dossier.</w:t>
      </w:r>
    </w:p>
    <w:p>
      <w:pPr>
        <w:pStyle w:val="Heading2"/>
      </w:pPr>
      <w:r>
        <w:t>Article 5 Durée</w:t>
      </w:r>
    </w:p>
    <w:p>
      <w:r>
        <w:t>La durée est de [nombre] années à compter de l'immatriculation, sauf prorogation, dissolution anticipée ou autre cause légale. La durée retenue doit respecter le maximum applicable.</w:t>
      </w:r>
    </w:p>
    <w:p>
      <w:pPr>
        <w:pStyle w:val="Heading2"/>
      </w:pPr>
      <w:r>
        <w:t>Article 6 Apports</w:t>
      </w:r>
    </w:p>
    <w:p>
      <w:r>
        <w:t>Les apports en numéraire sont [identité, montant souscrit, montant versé, preuve]. Les apports en nature sont [description, propriétaire, droits transférés, valeur, rapport d'évaluation requis]. Aucun logiciel, marque ou autre actif appartenant à un tiers n'est apporté sans titre valable. Les associés complètent l'annexe des apports et le régime de libération validé par le conseil.</w:t>
      </w:r>
    </w:p>
    <w:p>
      <w:pPr>
        <w:pStyle w:val="Heading2"/>
      </w:pPr>
      <w:r>
        <w:t>Article 7 Capital social</w:t>
      </w:r>
    </w:p>
    <w:p>
      <w:r>
        <w:t>Le capital est fixé à [montant XAF], divisé en [nombre] parts égales de [valeur nominale XAF]. Ces données satisfont aux minima et formalités applicables confirmés par le conseil. La répartition nominative figure en annexe. Le total des parts et apports concorde avec le capital déclaré et les pièces de versement.</w:t>
      </w:r>
    </w:p>
    <w:p>
      <w:pPr>
        <w:pStyle w:val="Heading2"/>
      </w:pPr>
      <w:r>
        <w:t>Article 8 Droits attachés aux parts</w:t>
      </w:r>
    </w:p>
    <w:p>
      <w:r>
        <w:t>Chaque part confère les droits et obligations prévus par les textes applicables. Les modalités de vote, de participation aux résultats et de contribution aux pertes respectent les règles impératives. Les parts ne confèrent aucun droit personnel d'accès aux données des utilisateurs ou des familles.</w:t>
      </w:r>
    </w:p>
    <w:p>
      <w:pPr>
        <w:pStyle w:val="Heading2"/>
      </w:pPr>
      <w:r>
        <w:t>Article 9 Cession et transmission</w:t>
      </w:r>
    </w:p>
    <w:p>
      <w:r>
        <w:t>Les cessions, transmissions, agréments, notifications et mises à jour du registre des associés sont réalisés selon les conditions légales et les stipulations licites arrêtées avec le conseil. Modalités particulières retenues [à compléter]. Toute convention entre associés demeure compatible avec les statuts et les droits impératifs.</w:t>
      </w:r>
    </w:p>
    <w:p>
      <w:pPr>
        <w:pStyle w:val="Heading2"/>
      </w:pPr>
      <w:r>
        <w:t>Article 10 Gérance</w:t>
      </w:r>
    </w:p>
    <w:p>
      <w:r>
        <w:t>La société est gérée par [nom, identité], nommé(e) par [présents statuts ou acte séparé], pour [durée], avec [modalités de rémunération]. L'acceptation et la capacité du gérant sont documentées. Nomination, révocation, vacance et remplacement suivent les règles applicables; un acte séparé peut préciser la délégation opérationnelle.</w:t>
      </w:r>
    </w:p>
    <w:p>
      <w:pPr>
        <w:pStyle w:val="Heading2"/>
      </w:pPr>
      <w:r>
        <w:t>Article 11 Pouvoirs de la gérance</w:t>
      </w:r>
    </w:p>
    <w:p>
      <w:r>
        <w:t>Le gérant représente la société dans les limites des pouvoirs légaux. Les seuils internes d'approbation pour dépenses, emprunts, fournisseurs, actifs et lancement sont fixés dans une décision distincte. Leur opposabilité aux tiers est appréciée selon la loi; un seuil interne n'est pas présenté comme limitant automatiquement les droits de tiers.</w:t>
      </w:r>
    </w:p>
    <w:p>
      <w:pPr>
        <w:pStyle w:val="Heading2"/>
      </w:pPr>
      <w:r>
        <w:t>Article 12 Décisions des associés</w:t>
      </w:r>
    </w:p>
    <w:p>
      <w:r>
        <w:t>Les décisions ordinaires et extraordinaires, convocations, consultations, quorums, majorités et procès-verbaux respectent les règles impératives. Le conseil insère les modalités exactes après validation du nombre et de la qualité des associés. Les matières réservées ne sont pas transférées au comité interne par une simple charte.</w:t>
      </w:r>
    </w:p>
    <w:p>
      <w:pPr>
        <w:pStyle w:val="Heading2"/>
      </w:pPr>
      <w:r>
        <w:t>Article 13 Information et registres</w:t>
      </w:r>
    </w:p>
    <w:p>
      <w:r>
        <w:t>La société tient les registres sociaux, documents comptables et décisions nécessaires. L'information des associés s'exerce dans les limites applicables. Les rapports sur Kkevo Family utilisent des données agrégées ou expurgées; les droits sociaux ne justifient pas un accès généralisé aux profils, portraits ou récits familiaux.</w:t>
      </w:r>
    </w:p>
    <w:p>
      <w:pPr>
        <w:pStyle w:val="Heading2"/>
      </w:pPr>
      <w:r>
        <w:t>Article 14 Exercice social</w:t>
      </w:r>
    </w:p>
    <w:p>
      <w:r>
        <w:t>L'exercice commence le [date] et se termine le [date]. Le premier exercice suit le calendrier validé avec le conseil et le comptable. La société prépare et approuve ses comptes dans les formes et délais applicables et accomplit les déclarations et dépôts requis.</w:t>
      </w:r>
    </w:p>
    <w:p>
      <w:pPr>
        <w:pStyle w:val="Heading2"/>
      </w:pPr>
      <w:r>
        <w:t>Article 15 Résultats et réserves</w:t>
      </w:r>
    </w:p>
    <w:p>
      <w:r>
        <w:t>L'affectation des résultats, les réserves légales et autres réserves, ainsi que toute distribution, sont décidées selon les règles applicables après établissement de comptes appropriés. Aucune distribution ou rémunération de dirigeant n'est fondée sur des chiffres non vérifiés.</w:t>
      </w:r>
    </w:p>
    <w:p>
      <w:pPr>
        <w:pStyle w:val="Heading2"/>
      </w:pPr>
      <w:r>
        <w:t>Article 16 Contrôle légal et conventions</w:t>
      </w:r>
    </w:p>
    <w:p>
      <w:r>
        <w:t>Le conseil vérifie l'obligation éventuelle de désigner un commissaire aux comptes et les règles relatives aux conventions avec associés, dirigeants et personnes liées. Les conflits sont déclarés, les abstentions enregistrées et les approbations requises obtenues.</w:t>
      </w:r>
    </w:p>
    <w:p>
      <w:pPr>
        <w:pStyle w:val="Heading2"/>
      </w:pPr>
      <w:r>
        <w:t>Article 17 Actifs intellectuels et documents</w:t>
      </w:r>
    </w:p>
    <w:p>
      <w:r>
        <w:t>Les actifs nécessaires sont acquis, apportés ou licenciés par écrit. La société conserve les titres et conditions d'exploitation, dont les logiciels libres et les droits sur les images et symboles. Les documents de gouvernance précisent les responsabilités de confidentialité et de sécurité sans attribuer à la société la propriété des données des personnes.</w:t>
      </w:r>
    </w:p>
    <w:p>
      <w:pPr>
        <w:pStyle w:val="Heading2"/>
      </w:pPr>
      <w:r>
        <w:t>Article 18 Comité interne de suivi</w:t>
      </w:r>
    </w:p>
    <w:p>
      <w:r>
        <w:t>Les associés peuvent établir un comité consultatif de suivi du produit et des risques. Sa charte, sa composition et ses délégations sont distinctes. Il ne se substitue ni à la gérance ni aux décisions légalement réservées aux associés et ne dispose pas de pouvoirs statutaires non valablement conférés.</w:t>
      </w:r>
    </w:p>
    <w:p>
      <w:pPr>
        <w:pStyle w:val="Heading2"/>
      </w:pPr>
      <w:r>
        <w:t>Article 19 Modification et transformation</w:t>
      </w:r>
    </w:p>
    <w:p>
      <w:r>
        <w:t>Toute modification du capital, des statuts ou de la forme sociale est adoptée et publiée selon les règles applicables. Les effets sur les contrats, responsabilités et informations des utilisateurs sont examinés avant mise en œuvre.</w:t>
      </w:r>
    </w:p>
    <w:p>
      <w:pPr>
        <w:pStyle w:val="Heading2"/>
      </w:pPr>
      <w:r>
        <w:t>Article 20 Dissolution et liquidation</w:t>
      </w:r>
    </w:p>
    <w:p>
      <w:r>
        <w:t>La dissolution et la liquidation sont conduites par l'organe compétent et le liquidateur régulièrement désigné. Un plan distinct règle les droits des utilisateurs, la restitution ou l'effacement des données, la clôture des services et les conservations légalement justifiées. Les données familiales ne sont pas librement cédées comme un stock commercial.</w:t>
      </w:r>
    </w:p>
    <w:p>
      <w:pPr>
        <w:pStyle w:val="Heading2"/>
      </w:pPr>
      <w:r>
        <w:t>Article 21 Actes accomplis pendant la formation</w:t>
      </w:r>
    </w:p>
    <w:p>
      <w:r>
        <w:t>La liste détaillée des engagements antérieurs figure en annexe avec auteur, date, bénéficiaire, montant, conditions et mécanisme de reprise proposé. La reprise après immatriculation est décidée selon les règles applicables. Aucune signature au nom d'une personne morale inexistante n'est réputée valable par ces seuls statuts.</w:t>
      </w:r>
    </w:p>
    <w:p>
      <w:pPr>
        <w:pStyle w:val="Heading2"/>
      </w:pPr>
      <w:r>
        <w:t>Article 22 Formalités et litiges</w:t>
      </w:r>
    </w:p>
    <w:p>
      <w:r>
        <w:t>Pouvoir est donné à [mandataire] pour accomplir les formalités expressément prévues par le mandat annexé. Tout différend est traité conformément aux règles de compétence applicables et aux mécanismes licites retenus avec le conseil. Aucune stipulation ne prive une personne de droits impératifs.</w:t>
      </w:r>
    </w:p>
    <w:p>
      <w:r>
        <w:t>Fait à [ville], le [date], en [nombre confirmé] exemplaires. Associés [noms et signatures]. Gérant acceptant [nom et signature]. Authentification [route et référence]. Validation conseil [référence].</w:t>
      </w:r>
    </w:p>
    <w:p>
      <w:pPr>
        <w:pStyle w:val="Heading1"/>
      </w:pPr>
      <w:r>
        <w:t>Instruments complémentaires de constitution</w:t>
      </w:r>
    </w:p>
    <w:p>
      <w:pPr>
        <w:pStyle w:val="Heading2"/>
      </w:pPr>
      <w:r>
        <w:t>Décision des fondateurs et nomination de la gérance</w:t>
      </w:r>
    </w:p>
    <w:p>
      <w:r>
        <w:t>Nous, [identités des fondateurs], décidons de constituer [dénomination et forme] au siège [adresse], avec un capital [XAF] et la répartition annexée. Nous approuvons les statuts version [version/date] et nommons [nom] gérant pour [durée], selon [rémunération ou décision séparée]. Le gérant accepte et déclare les éventuelles incompatibilités ou conflits [détails]. Le mandat de dépôt annexé est approuvé. Décision, règles de vote et qualité des signataires [vérifiées]. Signatures [fondateurs et gérant], date [date].</w:t>
      </w:r>
    </w:p>
    <w:p>
      <w:pPr>
        <w:pStyle w:val="Heading2"/>
      </w:pPr>
      <w:r>
        <w:t>État des souscriptions et apports</w:t>
      </w:r>
    </w:p>
    <w:p>
      <w:r>
        <w:t>Pour chaque souscripteur: identité [ ]; parts souscrites [ ]; montant total [ ]; numéraire versé [ ]; montant restant et échéance validée [ ]; apport en nature et titre [ ]; preuve et dépositaire [ ]; signature [ ]. Totaux: capital [ ]; parts [ ]; valeur par part [ ]; sommes effectivement déposées [ ]; rapprochement vérifié par [ ]. Aucun versement n'est attesté sans preuve.</w:t>
      </w:r>
    </w:p>
    <w:p>
      <w:pPr>
        <w:pStyle w:val="Heading2"/>
      </w:pPr>
      <w:r>
        <w:t>Déclaration de régularité et de conformité</w:t>
      </w:r>
    </w:p>
    <w:p>
      <w:r>
        <w:t>Nous, [fondateurs ou mandataire habilité], déclarons, après vérification des actes annexés, que les opérations de constitution de [société] ont été accomplies selon les règles applicables. Pièces contrôlées [liste], capital et versements [preuves], statuts [version], nominations [références], réserves ou corrections [détails]. Cette déclaration ne doit être signée qu'après validation de sa forme et de l'exactitude des opérations. Fait à [ ], le [ ], signatures [ ], qualité [ ].</w:t>
      </w:r>
    </w:p>
    <w:p>
      <w:pPr>
        <w:pStyle w:val="Heading2"/>
      </w:pPr>
      <w:r>
        <w:t>Mandat limité de formalités</w:t>
      </w:r>
    </w:p>
    <w:p>
      <w:r>
        <w:t>Les fondateurs [identités] habilitent [mandataire] à déposer les pièces approuvées, recevoir les récépissés et transmettre les demandes de correction auprès de [CFCE/greffe]. Le mandataire ne peut modifier le capital, les associés, la gérance, l'objet ou le siège sans nouvelle instruction écrite. Budget maximal [XAF]; durée [dates]; obligations de compte rendu [ ]; frais sur justificatifs. Signatures des mandants [ ]; acceptation du mandataire [ ].</w:t>
      </w:r>
    </w:p>
    <w:p>
      <w:pPr>
        <w:pStyle w:val="Heading2"/>
      </w:pPr>
      <w:r>
        <w:t>Déclaration personnelle et pièces officielles</w:t>
      </w:r>
    </w:p>
    <w:p>
      <w:r>
        <w:t>Identité du déclarant [ ]; qualité [ ]; adresse [ ]; référence de pièce [ ]. Déclaration envisagée: Je déclare sur l'honneur ne pas faire l'objet d'une interdiction m'empêchant d'exercer les fonctions ou activités envisagées, sous réserve de vérification et de production des pièces officielles exigées. Fait à [ ], le [ ], signature [ ]. Le conseil confirme l'éligibilité de cette déclaration, les documents qui doivent la compléter et leur échéance; elle ne remplace pas un extrait officiel lorsqu'il est exigé.</w:t>
      </w:r>
    </w:p>
    <w:p>
      <w:pPr>
        <w:pStyle w:val="Heading2"/>
      </w:pPr>
      <w:r>
        <w:t>Liste des dirigeants et personnes habilitées</w:t>
      </w:r>
    </w:p>
    <w:p>
      <w:r>
        <w:t>Pour chaque personne: nom complet [ ]; date/lieu de naissance [ ]; adresse [ ]; nationalité [ ]; fonction [ ]; acte de nomination [ ]; pouvoir de signature [ ]; restrictions internes [ ]; pièce justificative [ ]; certification selon procédure applicable [ ]. Garder les données détaillées dans le dossier restreint.</w:t>
      </w:r>
    </w:p>
    <w:p>
      <w:pPr>
        <w:pStyle w:val="Heading2"/>
      </w:pPr>
      <w:r>
        <w:t>État des actes antérieurs et actifs</w:t>
      </w:r>
    </w:p>
    <w:p>
      <w:r>
        <w:t>Pour chaque acte: auteur [ ]; date [ ]; fournisseur ou auteur de l'actif [ ]; engagement ou actif [ ]; montant/licence [ ]; droit de reprise ou transfert [ ]; décision requise [ ]; document signé [ ]. Séparer les actifs logiciels, logos et domaines des données d'utilisateurs. Les données réelles déjà détenues nécessitent leur propre examen de légalité, information et effacement éventuel.</w:t>
      </w:r>
    </w:p>
    <w:p>
      <w:pPr>
        <w:pStyle w:val="Heading1"/>
      </w:pPr>
      <w:r>
        <w:t>Post registration plan</w:t>
      </w:r>
    </w:p>
    <w:p>
      <w:r>
        <w:t>The coordinator verifies the registration and tax evidence, obtains professional bookkeeping advice and confirms tax declarations, fiscal regime and any employer/CNPS obligations. The manager opens company accounts, establishes dual payment review at [threshold], updates commercial documents and signs only within authority. Brand protection, operating permissions and data-processing permissions are assessed separately from registration.</w:t>
      </w:r>
    </w:p>
    <w:p>
      <w:r>
        <w:t>Before public launch, complete the data authorization and assessment dossier in document 02, adopt policies, execute contracts and transfer app assets. A successful registration is not permission to process all relatives' data. Maintain official outputs, future changes, renewal dates where relevant, accountant/counsel contacts and annual compliance tasks in document 07.</w:t>
      </w:r>
    </w:p>
    <w:p>
      <w:pPr>
        <w:pStyle w:val="Heading1"/>
      </w:pPr>
      <w:r>
        <w:t>Execution clearance</w:t>
      </w:r>
    </w:p>
    <w:p>
      <w:r>
        <w:t>Legal form confirmed [ ]; all placeholders completed [ ]; mandatory clauses/voting rules reviewed [ ]; capital route confirmed [ ]; founder identities and rights verified [ ]; current official forms attached [ ]; signature/copy/publication/fee route confirmed [ ]; manager authority established [ ]. Counsel [signature/date]. Founders [signatures/date]. Filing representative [signature/date].</w:t>
      </w:r>
    </w:p>
    <w:sectPr w:rsidR="00FC693F" w:rsidRPr="0006063C" w:rsidSect="00034616">
      <w:footerReference w:type="default" r:id="rId9"/>
      <w:pgSz w:w="11906" w:h="16838"/>
      <w:pgMar w:top="1049" w:right="1134" w:bottom="1049"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01  |  KKEVO Tech  |  Board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inpmeesa.cm/site/inhoud/uploads/2023/11/sopecam2022.pdf" TargetMode="External"/><Relationship Id="rId11" Type="http://schemas.openxmlformats.org/officeDocument/2006/relationships/hyperlink" Target="https://rccm.ohada.org/staticPage/index?alias=imm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KKEVO Tech Cameroon company registration dossier</dc:title>
  <dc:subject>Kkevo Family company formation and data governance</dc:subject>
  <dc:creator>KKEVO Tech</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