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Kkevo Family data governance and processing assessment</w:t>
      </w:r>
    </w:p>
    <w:p>
      <w:r>
        <w:t>Document KKT DATA 001 | Version 0.1 | Confidential | Proposed policy and assessment</w:t>
      </w:r>
    </w:p>
    <w:p>
      <w:r>
        <w:t>This document defines the proposed rules for collecting, using, sharing and disposing of Kkevo Family data. The accountable operator will be the registered KKEVO Tech legal entity. Until registration, founders must identify who actually controls any existing real records and how those records were collected. The proposed company does not retroactively authorize earlier processing.</w:t>
      </w:r>
    </w:p>
    <w:p>
      <w:pPr>
        <w:pStyle w:val="Heading1"/>
      </w:pPr>
      <w:r>
        <w:t>Policy scope and responsibility</w:t>
      </w:r>
    </w:p>
    <w:p>
      <w:r>
        <w:t>The policy covers accounts, relatives who do not hold accounts, children represented in records, deceased persons, family administrators, staff, contractors and providers. It covers the Android app, API, database, portraits, exports, logs, support cases, mail, backups and devices used for administration. User-uploaded records are personal information even when visible only to a family.</w:t>
      </w:r>
    </w:p>
    <w:p>
      <w:r>
        <w:t>The privacy lead maintains this document and the processing register. The manager funds compliance and appoints operators. Engineering implements the approved rules. Counsel determines the legal permissions; the board approves company choices within lawful bounds. A family owner controls participation in the product, not the legal rights of the people described.</w:t>
      </w:r>
    </w:p>
    <w:p>
      <w:pPr>
        <w:pStyle w:val="Heading1"/>
      </w:pPr>
      <w:r>
        <w:t>Purpose limitations</w:t>
      </w:r>
    </w:p>
    <w:p>
      <w:r>
        <w:t>Use data only to operate accounts, create and maintain approved family records, suggest possible recorded-family connections when enabled, administer invitations/access, deliver requested recovery messages, process imports/exports, handle support and content complaints, and maintain security and service continuity. No advertising resale, unrelated marketing, DNA analysis, facial identification or AI training on family content is authorized by this policy. Any future purpose requires separate assessment and approval.</w:t>
      </w:r>
    </w:p>
    <w:p>
      <w:r>
        <w:t>Collect the minimum facts needed. Do not request national identity numbers, financial details, health diagnoses, religious or political beliefs, ethnicity, precise home addresses or DNA. Free-text stories and imports can still introduce such material; warn contributors and provide a review/removal route. Counsel must validate treatment of names, places, language, regional origin and genealogical inferences before a real-data release.</w:t>
      </w:r>
    </w:p>
    <w:p>
      <w:pPr>
        <w:pStyle w:val="Heading1"/>
      </w:pPr>
      <w:r>
        <w:t>Consent and inclusion rules</w:t>
      </w:r>
    </w:p>
    <w:p>
      <w:r>
        <w:t>An account holder must receive clear, purpose-specific information before submitting information. Distinguish terms acceptance, core personal-data consent, inclusion of another person, optional discovery and device permissions. A signature on the general terms or a device permission does not prove another relative's consent.</w:t>
      </w:r>
    </w:p>
    <w:p>
      <w:r>
        <w:t>For living adults, require a verified, recorded permission route accepted by counsel before activating a personal record. An uploader's assertion that someone is family is insufficient. If a person cannot be contacted, counsel must assess an available lawful route; absent one, exclude that personal information rather than assume an exemption. The existing app does not yet supply this complete evidence workflow.</w:t>
      </w:r>
    </w:p>
    <w:p>
      <w:r>
        <w:t>The proposed initial account audience is adults aged 18 or older. Children may still appear in family records, so adult-only accounts do not remove the need for parental/legal-representative permission and safeguards. Permit child records only after an approved verification route, minimal fields and disclosure controls are implemented. Do not store full identity papers as routine proof where a less intrusive method suffices.</w:t>
      </w:r>
    </w:p>
    <w:p>
      <w:r>
        <w:t>Deceased records require a separate approved route, including any applicable post-mortem instructions or permitted legal retention. Do not assume that death makes records free to retain indefinitely. Existing historical records and imported trees must undergo the same assessment. A general heritage purpose is not an automatic permission.</w:t>
      </w:r>
    </w:p>
    <w:p>
      <w:r>
        <w:t>Store the consent/personal-data permission reference, purpose, person or representative, scope, notice version, date, verification method, source and withdrawal state in a restricted register. Preserve only enough evidence to demonstrate permission. Withdrawal stops optional discovery promptly and routes the relevant records for disposition. Loss of a family membership must not remove the right to make a privacy request.</w:t>
      </w:r>
    </w:p>
    <w:p>
      <w:pPr>
        <w:pStyle w:val="Heading1"/>
      </w:pPr>
      <w:r>
        <w:t>Access and family participation</w:t>
      </w:r>
    </w:p>
    <w:p>
      <w:r>
        <w:t>The launch service should remain private. Viewing access covers the entire authorized family tree, including profiles, relationships, stories and portraits. Show that scope before approval. Editors modify within granted permissions; owners review participation and role changes. Treat uncertain suggestions as candidates; they do not establish biological relationships or identity and never cause an automatic merge.</w:t>
      </w:r>
    </w:p>
    <w:p>
      <w:r>
        <w:t>Approving a join requires review of the invitation, candidate identity and intended existing profile. Do not expose additional family content to persuade an outsider to join. Revocation must block API access and clear accessible cached views on refresh. Signed portrait links may remain usable until expiry; do not promise instantaneous revocation of previously issued links. Previously saved or shared exports cannot be recalled by the app.</w:t>
      </w:r>
    </w:p>
    <w:p>
      <w:r>
        <w:t>For a disputed living-person record, suspend optional discovery and minimize further disclosure while the privacy lead reviews it. If the current app cannot isolate the disputed record, assess restricting the affected tree or pausing that workflow. Do not falsely promise per-person or branch access restrictions that the app lacks.</w:t>
      </w:r>
    </w:p>
    <w:p>
      <w:pPr>
        <w:pStyle w:val="Heading1"/>
      </w:pPr>
      <w:r>
        <w:t>Processing register</w:t>
      </w:r>
    </w:p>
    <w:p>
      <w:r>
        <w:t>Each entry below is a working inventory. Add actual field names, data source, owner, permission evidence, recipients, countries, safeguards and retention identifier. No entry is approved for production until its legal route and provider particulars are recorded.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721"/>
        <w:gridCol w:w="2948"/>
        <w:gridCol w:w="2381"/>
      </w:tblGrid>
      <w:tr>
        <w:trPr>
          <w:cantSplit/>
          <w:tblHeader/>
        </w:trPr>
        <w:tc>
          <w:tcPr>
            <w:tcW w:type="dxa" w:w="1587"/>
            <w:vAlign w:val="center"/>
            <w:shd w:fill="163957"/>
            <w:tcMar>
              <w:top w:w="95" w:type="dxa"/>
              <w:bottom w:w="95" w:type="dxa"/>
              <w:left w:w="110" w:type="dxa"/>
              <w:right w:w="110" w:type="dxa"/>
            </w:tcMar>
          </w:tcPr>
          <w:p>
            <w:pPr>
              <w:spacing w:after="0" w:line="259" w:lineRule="auto"/>
            </w:pPr>
            <w:r>
              <w:rPr>
                <w:b/>
                <w:color w:val="FFFFFF"/>
                <w:sz w:val="19"/>
              </w:rPr>
              <w:t>ID</w:t>
            </w:r>
          </w:p>
        </w:tc>
        <w:tc>
          <w:tcPr>
            <w:tcW w:type="dxa" w:w="2721"/>
            <w:vAlign w:val="center"/>
            <w:shd w:fill="163957"/>
            <w:tcMar>
              <w:top w:w="95" w:type="dxa"/>
              <w:bottom w:w="95" w:type="dxa"/>
              <w:left w:w="110" w:type="dxa"/>
              <w:right w:w="110" w:type="dxa"/>
            </w:tcMar>
          </w:tcPr>
          <w:p>
            <w:pPr>
              <w:spacing w:after="0" w:line="259" w:lineRule="auto"/>
            </w:pPr>
            <w:r>
              <w:rPr>
                <w:b/>
                <w:color w:val="FFFFFF"/>
                <w:sz w:val="19"/>
              </w:rPr>
              <w:t>Operation and people</w:t>
            </w:r>
          </w:p>
        </w:tc>
        <w:tc>
          <w:tcPr>
            <w:tcW w:type="dxa" w:w="2948"/>
            <w:vAlign w:val="center"/>
            <w:shd w:fill="163957"/>
            <w:tcMar>
              <w:top w:w="95" w:type="dxa"/>
              <w:bottom w:w="95" w:type="dxa"/>
              <w:left w:w="110" w:type="dxa"/>
              <w:right w:w="110" w:type="dxa"/>
            </w:tcMar>
          </w:tcPr>
          <w:p>
            <w:pPr>
              <w:spacing w:after="0" w:line="259" w:lineRule="auto"/>
            </w:pPr>
            <w:r>
              <w:rPr>
                <w:b/>
                <w:color w:val="FFFFFF"/>
                <w:sz w:val="19"/>
              </w:rPr>
              <w:t>Data and recipients</w:t>
            </w:r>
          </w:p>
        </w:tc>
        <w:tc>
          <w:tcPr>
            <w:tcW w:type="dxa" w:w="2381"/>
            <w:vAlign w:val="center"/>
            <w:shd w:fill="163957"/>
            <w:tcMar>
              <w:top w:w="95" w:type="dxa"/>
              <w:bottom w:w="95" w:type="dxa"/>
              <w:left w:w="110" w:type="dxa"/>
              <w:right w:w="110" w:type="dxa"/>
            </w:tcMar>
          </w:tcPr>
          <w:p>
            <w:pPr>
              <w:spacing w:after="0" w:line="259" w:lineRule="auto"/>
            </w:pPr>
            <w:r>
              <w:rPr>
                <w:b/>
                <w:color w:val="FFFFFF"/>
                <w:sz w:val="19"/>
              </w:rPr>
              <w:t>Permission and retention record</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P01</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Account and recovery for registered users</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Identity/contact, password hashes, tokens; API, database and mail provider</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Core consent route [review]; R01 R04</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P02</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Family records for members and relatives</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Names, dates/places, relations, events; permitted family users</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Per-person or representative route [review]; R02</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P03</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Ancestor suggestions for opted-in users and candidate relatives</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Recorded ancestor names/path and disambiguating facts; limited candidate output</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Separate opt-in and matching classification [review]; R03</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P04</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Invitations and participation requests</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Invitation secrets, candidate/profile, roles/status; owner and requester</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Inclusion/access evidence [review]; R03</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P05</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Stories and portraits of represented people</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Text/photos and revision state; whole-tree members, private media provider</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Contributor rights and personal-data permission [review]; R02</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P06</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JSON import and export</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Profiles/links/events/stories; selected destination and user's file provider</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Authority to transfer and include relatives [review]; R05</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P07</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Content and privacy cases</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Reporter, target, request, response and evidence; restricted operators</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Case purpose and lawful retention [review]; R06</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P08</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Service security and diagnostics</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Minimal event metadata, source address, account references; approved operations providers</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Necessary lawful route [review]; R07</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P09</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Backup and restore</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Database and media snapshots; restricted storage provider</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Same source-data permissions and restore safeguards; R08</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P10</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Device storage</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App cache, selected files, credential/draft vault; account/device user</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Device disclosure and cleanup; R09</w:t>
            </w:r>
          </w:p>
        </w:tc>
      </w:tr>
    </w:tbl>
    <w:p>
      <w:pPr>
        <w:spacing w:after="60"/>
      </w:pPr>
    </w:p>
    <w:p>
      <w:r>
        <w:t>For every operation record: controller contact, processor/contact, purpose, source, subjects, exact categories, collection method, disclosure recipients, special/minor/deceased data flag, storage/remote-access countries, safeguards, authority reference, permission evidence, retention trigger, deletion mechanism, risk assessment reference, last review and accountable owner. A register listing placeholders is not a completed statutory record.</w:t>
      </w:r>
    </w:p>
    <w:p>
      <w:pPr>
        <w:pStyle w:val="Heading1"/>
      </w:pPr>
      <w:r>
        <w:t>Retention and disposition schedule</w:t>
      </w:r>
    </w:p>
    <w:p>
      <w:r>
        <w:t>The periods below are board proposals requiring counsel validation and technical proof. They are not claimed statutory periods. A valid legal hold is narrowly documented, segregated, reviewed and disclosed where lawful; the existence of a dispute does not justify retaining an entire tree indefinitely.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721"/>
        <w:gridCol w:w="2948"/>
        <w:gridCol w:w="2381"/>
      </w:tblGrid>
      <w:tr>
        <w:trPr>
          <w:cantSplit/>
          <w:tblHeader/>
        </w:trPr>
        <w:tc>
          <w:tcPr>
            <w:tcW w:type="dxa" w:w="1587"/>
            <w:vAlign w:val="center"/>
            <w:shd w:fill="163957"/>
            <w:tcMar>
              <w:top w:w="95" w:type="dxa"/>
              <w:bottom w:w="95" w:type="dxa"/>
              <w:left w:w="110" w:type="dxa"/>
              <w:right w:w="110" w:type="dxa"/>
            </w:tcMar>
          </w:tcPr>
          <w:p>
            <w:pPr>
              <w:spacing w:after="0" w:line="259" w:lineRule="auto"/>
            </w:pPr>
            <w:r>
              <w:rPr>
                <w:b/>
                <w:color w:val="FFFFFF"/>
                <w:sz w:val="19"/>
              </w:rPr>
              <w:t>ID</w:t>
            </w:r>
          </w:p>
        </w:tc>
        <w:tc>
          <w:tcPr>
            <w:tcW w:type="dxa" w:w="2721"/>
            <w:vAlign w:val="center"/>
            <w:shd w:fill="163957"/>
            <w:tcMar>
              <w:top w:w="95" w:type="dxa"/>
              <w:bottom w:w="95" w:type="dxa"/>
              <w:left w:w="110" w:type="dxa"/>
              <w:right w:w="110" w:type="dxa"/>
            </w:tcMar>
          </w:tcPr>
          <w:p>
            <w:pPr>
              <w:spacing w:after="0" w:line="259" w:lineRule="auto"/>
            </w:pPr>
            <w:r>
              <w:rPr>
                <w:b/>
                <w:color w:val="FFFFFF"/>
                <w:sz w:val="19"/>
              </w:rPr>
              <w:t>Data category</w:t>
            </w:r>
          </w:p>
        </w:tc>
        <w:tc>
          <w:tcPr>
            <w:tcW w:type="dxa" w:w="2948"/>
            <w:vAlign w:val="center"/>
            <w:shd w:fill="163957"/>
            <w:tcMar>
              <w:top w:w="95" w:type="dxa"/>
              <w:bottom w:w="95" w:type="dxa"/>
              <w:left w:w="110" w:type="dxa"/>
              <w:right w:w="110" w:type="dxa"/>
            </w:tcMar>
          </w:tcPr>
          <w:p>
            <w:pPr>
              <w:spacing w:after="0" w:line="259" w:lineRule="auto"/>
            </w:pPr>
            <w:r>
              <w:rPr>
                <w:b/>
                <w:color w:val="FFFFFF"/>
                <w:sz w:val="19"/>
              </w:rPr>
              <w:t>Proposed rule</w:t>
            </w:r>
          </w:p>
        </w:tc>
        <w:tc>
          <w:tcPr>
            <w:tcW w:type="dxa" w:w="2381"/>
            <w:vAlign w:val="center"/>
            <w:shd w:fill="163957"/>
            <w:tcMar>
              <w:top w:w="95" w:type="dxa"/>
              <w:bottom w:w="95" w:type="dxa"/>
              <w:left w:w="110" w:type="dxa"/>
              <w:right w:w="110" w:type="dxa"/>
            </w:tcMar>
          </w:tcPr>
          <w:p>
            <w:pPr>
              <w:spacing w:after="0" w:line="259" w:lineRule="auto"/>
            </w:pPr>
            <w:r>
              <w:rPr>
                <w:b/>
                <w:color w:val="FFFFFF"/>
                <w:sz w:val="19"/>
              </w:rPr>
              <w:t>Release condition</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R01</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Account records</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Active authorized service; assess and execute deletion immediately when applicable, after proportionate identity checks</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Record actual execution and necessary exceptions</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R02</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Shared family records and media</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While individually authorized purpose remains; review withdrawal, objection, death and disputed accuracy promptly</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Approved living/minor/deceased disposition rules</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R03</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Invitations and discovery/request state</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Secret expires as configured; proposed purge of resolved metadata after 90 days</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Verify actual expiry and access review needs</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R04</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Recovery/verification secrets</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Configured short expiry; no plaintext secrets in operational logs; purge expired unused material</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Record actual code/token lifetime</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R05</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Imports exports and request receipts</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No separate server export archive; proposed create/import receipt cleanup after 30 days</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Preserve safe uncertain retries without indefinite payload copies</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R06</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Support and rights cases</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Proposed 12 months after closure for minimum case evidence, subject to lawful need</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Remove unnecessary family content and identity proofs sooner</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R07</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Security logs</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Proposed 90 days; scrub payloads, tokens and names</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Confirm lawful basis, actual configuration and holds</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R08</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Backups</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Proposed maximum 30-day rotation; prevent use of erased/restricted records during restore</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Validate lawful treatment where faster removal is required</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R09</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Device drafts and caches</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Existing drafts expire after 24 hours; clear on save/discard/account cleanup; ordinary cache cleared on account cleanup/access refresh</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Test signed release and document residual device/file behavior</w:t>
            </w:r>
          </w:p>
        </w:tc>
      </w:tr>
    </w:tbl>
    <w:p>
      <w:pPr>
        <w:spacing w:after="60"/>
      </w:pPr>
    </w:p>
    <w:p>
      <w:r>
        <w:t>Users' own exported files are outside routine company deletion control. Tell users to remove or protect copies and, where legally required, notify identified recipients without revealing other relatives' information. Internal retention periods must be revised if authorization conditions impose different limits. Do not use backup rotation to defer necessary immediate deletion from active systems.</w:t>
      </w:r>
    </w:p>
    <w:p>
      <w:pPr>
        <w:pStyle w:val="Heading1"/>
      </w:pPr>
      <w:r>
        <w:t>Supplier and international transfer rules</w:t>
      </w:r>
    </w:p>
    <w:p>
      <w:r>
        <w:t>Before engaging hosting, database, object storage, email, monitoring or support vendors, record actual legal entities, storage countries, backup locations, remote support access, subprocessors, deletion capabilities and security evidence. The provider assessment and contract in document 06 must be executed. Refuse unbounded reuse of family data for provider training or advertising.</w:t>
      </w:r>
    </w:p>
    <w:p>
      <w:r>
        <w:t>Select a provider only after the lawful country/transfer route is documented. A Cameroon provider with overseas backups or foreign support may still involve a transfer. Similarly, board members viewing raw records abroad require assessment. Do not substitute a generic European transfer contract for Cameroon permissions. Record approvals and changes in the transfer register; unresolved overseas arrangements block use with real records.</w:t>
      </w:r>
    </w:p>
    <w:p>
      <w:pPr>
        <w:pStyle w:val="Heading1"/>
      </w:pPr>
      <w:r>
        <w:t>Initial impact assessment</w:t>
      </w:r>
    </w:p>
    <w:p>
      <w:r>
        <w:t>This is an initial assessment for the current workflow, not evidence of regulator approval. Review interviews with representative consenting families and actual deployment configuration before signing. The impact on non-users is material: a person can be identified through a parent's profile even if their own record is removed. Relationship changes can reveal sensitive parentage, adoption, disputes or location patterns.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721"/>
        <w:gridCol w:w="2948"/>
        <w:gridCol w:w="2381"/>
      </w:tblGrid>
      <w:tr>
        <w:trPr>
          <w:cantSplit/>
          <w:tblHeader/>
        </w:trPr>
        <w:tc>
          <w:tcPr>
            <w:tcW w:type="dxa" w:w="1587"/>
            <w:vAlign w:val="center"/>
            <w:shd w:fill="163957"/>
            <w:tcMar>
              <w:top w:w="95" w:type="dxa"/>
              <w:bottom w:w="95" w:type="dxa"/>
              <w:left w:w="110" w:type="dxa"/>
              <w:right w:w="110" w:type="dxa"/>
            </w:tcMar>
          </w:tcPr>
          <w:p>
            <w:pPr>
              <w:spacing w:after="0" w:line="259" w:lineRule="auto"/>
            </w:pPr>
            <w:r>
              <w:rPr>
                <w:b/>
                <w:color w:val="FFFFFF"/>
                <w:sz w:val="19"/>
              </w:rPr>
              <w:t>Risk</w:t>
            </w:r>
          </w:p>
        </w:tc>
        <w:tc>
          <w:tcPr>
            <w:tcW w:type="dxa" w:w="2721"/>
            <w:vAlign w:val="center"/>
            <w:shd w:fill="163957"/>
            <w:tcMar>
              <w:top w:w="95" w:type="dxa"/>
              <w:bottom w:w="95" w:type="dxa"/>
              <w:left w:w="110" w:type="dxa"/>
              <w:right w:w="110" w:type="dxa"/>
            </w:tcMar>
          </w:tcPr>
          <w:p>
            <w:pPr>
              <w:spacing w:after="0" w:line="259" w:lineRule="auto"/>
            </w:pPr>
            <w:r>
              <w:rPr>
                <w:b/>
                <w:color w:val="FFFFFF"/>
                <w:sz w:val="19"/>
              </w:rPr>
              <w:t>Initial severity</w:t>
            </w:r>
          </w:p>
        </w:tc>
        <w:tc>
          <w:tcPr>
            <w:tcW w:type="dxa" w:w="2948"/>
            <w:vAlign w:val="center"/>
            <w:shd w:fill="163957"/>
            <w:tcMar>
              <w:top w:w="95" w:type="dxa"/>
              <w:bottom w:w="95" w:type="dxa"/>
              <w:left w:w="110" w:type="dxa"/>
              <w:right w:w="110" w:type="dxa"/>
            </w:tcMar>
          </w:tcPr>
          <w:p>
            <w:pPr>
              <w:spacing w:after="0" w:line="259" w:lineRule="auto"/>
            </w:pPr>
            <w:r>
              <w:rPr>
                <w:b/>
                <w:color w:val="FFFFFF"/>
                <w:sz w:val="19"/>
              </w:rPr>
              <w:t>Proposed controls and evidence</w:t>
            </w:r>
          </w:p>
        </w:tc>
        <w:tc>
          <w:tcPr>
            <w:tcW w:type="dxa" w:w="2381"/>
            <w:vAlign w:val="center"/>
            <w:shd w:fill="163957"/>
            <w:tcMar>
              <w:top w:w="95" w:type="dxa"/>
              <w:bottom w:w="95" w:type="dxa"/>
              <w:left w:w="110" w:type="dxa"/>
              <w:right w:w="110" w:type="dxa"/>
            </w:tcMar>
          </w:tcPr>
          <w:p>
            <w:pPr>
              <w:spacing w:after="0" w:line="259" w:lineRule="auto"/>
            </w:pPr>
            <w:r>
              <w:rPr>
                <w:b/>
                <w:color w:val="FFFFFF"/>
                <w:sz w:val="19"/>
              </w:rPr>
              <w:t>Remaining decision</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Relative recorded without permission</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Critical</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Inclusion evidence, non-user requests, removal/restriction exercise</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Lawful route and implementation absent</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Child exposed through family records</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Critical</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Adult account eligibility, guardian review, minimal records, rapid safety handling</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Verification and child-record rules unresolved</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Historical/deceased records retained without authority</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High</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Post-mortem/legal assessment, source and instruction register</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Historical-tree model requires legal validation</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Wrong matching or family conflict</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High</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Optional candidate suggestions, no automatic merge, owner review and correction</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Review interconnection/inference permissions</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Member export or portrait disclosure</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High</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Whole-tree scope notice, export warning, private media, short-lived links</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Physical-device and provider controls unproven</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Provider or privileged-user misuse</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High</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Contracts, least privilege, reviewed access, incident process</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Providers and staffing not appointed</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Erasure defeated by shared links or restored backups</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Critical</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Disposition map, deletion ledger, restore replay and verification</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Erasure implementation pending</w:t>
            </w:r>
          </w:p>
        </w:tc>
      </w:tr>
    </w:tbl>
    <w:p>
      <w:pPr>
        <w:spacing w:after="60"/>
      </w:pPr>
    </w:p>
    <w:p>
      <w:r>
        <w:t>Residual risks cannot be accepted as a substitute for lawfulness. Record controls tested [ ], residual ratings [ ], affected-person feedback [ ], unresolved questions [ ], required consultation/permission [ ], legal opinion [ ], privacy recommendation [ ], board decision [ ]. Assess again before new countries, new vendors, public sharing, material matching changes or new data categories.</w:t>
      </w:r>
    </w:p>
    <w:p>
      <w:pPr>
        <w:pStyle w:val="Heading1"/>
      </w:pPr>
      <w:r>
        <w:t>Regulatory preparation dossier</w:t>
      </w:r>
    </w:p>
    <w:p>
      <w:r>
        <w:t>Prepare a submission set containing company registration and signatory authority; controller/processor contacts; service purpose and territories; the processing register; data flow and technical architecture; permission and notice evidence; minor/deceased/sensitive-data assessment; impact assessment; recipient/transfer inventory and contracts; security/incident/backup controls; retention and rights procedures; and test evidence. Attach current official forms obtained from the competent authority. This dossier is not itself a government filing or authorization.</w:t>
      </w:r>
    </w:p>
    <w:p>
      <w:r>
        <w:t>Counsel records the applicability, exact sections, implementing instruments, official channel, form version, attachments, fees if any, deadline and authorization reference for each processing, interconnection and transfer issue. If the administrative channel is unclear or unavailable, request documented counsel guidance and official clarification; absence of a reachable office must not be treated as permission.</w:t>
      </w:r>
    </w:p>
    <w:p>
      <w:pPr>
        <w:pStyle w:val="Heading2"/>
      </w:pPr>
      <w:r>
        <w:t>Request for legal assessment</w:t>
      </w:r>
    </w:p>
    <w:p>
      <w:r>
        <w:t>To [Cameroon counsel], from [founder or lawful company representative], date [ ]. Please assess Kkevo Family's proposed processing model before real-data deployment, specifically permissions for non-user living relatives, children's records, deceased records and post-mortem instructions, special-category inferences, automated ancestry suggestions and file interconnection, overseas access/storage, processing authorization, security audit requirements, retention, rights response and incident notifications. Please distinguish statutory requirements, current administrative procedures, unresolved questions and product changes needed. Attachments documents 00 to 07, code/data inventory [reference], selected vendor candidates [ ]. Deliverable: written recommendations and approval conditions; no certification is requested without completed evidence.</w:t>
      </w:r>
    </w:p>
    <w:p>
      <w:pPr>
        <w:pStyle w:val="Heading2"/>
      </w:pPr>
      <w:r>
        <w:t>Regulatory cover letter for adaptation</w:t>
      </w:r>
    </w:p>
    <w:p>
      <w:r>
        <w:t>From [registered legal entity and address], represented by [authorized person], to [verified competent authority], date [ ]. Subject: [request for authorization or clarification using the correct official procedure]. We propose operating Kkevo Family in [territories] for [specific purposes]. Attached are the processing inventory, impact assessment, controls, notices and recipient/transfer details identified in the annex list. We request [precise decision]. Processing commencement [planned date subject to authorization]. Contact [verified privacy contact]. Signature [authorized signatory]. Counsel must validate the recipient, requested route and declarations before dispatch. No correspondence has been sent by preparing this template.</w:t>
      </w:r>
    </w:p>
    <w:p>
      <w:pPr>
        <w:pStyle w:val="Heading1"/>
      </w:pPr>
      <w:r>
        <w:t>Policy implementation and approval</w:t>
      </w:r>
    </w:p>
    <w:p>
      <w:r>
        <w:t>Engineering supplies acceptance tests for inclusion permission, revoked access, opt-in withdrawal, notices, report handling, deletion/anonymization, caches, portraits, import receipts and backup restore. The privacy lead verifies all public statements against those results. Administrative case handling may complete existing rights workflows, but cannot conceal missing permissions or a broken deletion path.</w:t>
      </w:r>
    </w:p>
    <w:p>
      <w:r>
        <w:t>Owner [privacy lead]. Legal reviewer [ ]. Board decision [ ]. Effective date [ ]. Next review [ ]. Superseded version [ ]. Unresolved decisions [ ]. Supporting evidence [ ]. Signature [ ]. Do not mark effective until legal and technical release conditions are met.</w:t>
      </w:r>
    </w:p>
    <w:sectPr w:rsidR="00FC693F" w:rsidRPr="0006063C" w:rsidSect="00034616">
      <w:footerReference w:type="default" r:id="rId9"/>
      <w:pgSz w:w="11906" w:h="16838"/>
      <w:pgMar w:top="1049" w:right="1134" w:bottom="1049"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02  |  KKEVO Tech  |  Board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Kkevo Family data governance and processing assessment</dc:title>
  <dc:subject>Kkevo Family company formation and data governance</dc:subject>
  <dc:creator>KKEVO Tech</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