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Kkevo Family data rights and family content procedures</w:t>
      </w:r>
    </w:p>
    <w:p>
      <w:r>
        <w:t>Document KKT OPS 001 | Version 0.1 | Confidential | Proposed operating procedures</w:t>
      </w:r>
    </w:p>
    <w:p>
      <w:r>
        <w:t>The privacy and support teams use these procedures to complete the app's existing account, family, report and data-transfer workflows. A person may exercise rights even without an account or after losing access to a family. Protect the requester from unnecessary disclosure and distinguish a family-membership decision from a personal-data decision.</w:t>
      </w:r>
    </w:p>
    <w:p>
      <w:pPr>
        <w:pStyle w:val="Heading1"/>
      </w:pPr>
      <w:r>
        <w:t>Intake and case control</w:t>
      </w:r>
    </w:p>
    <w:p>
      <w:r>
        <w:t>Accept requests through the verified in-app routes, the public deletion resource, privacy/support contacts and other channels required by law. The current public deletion implementation authenticates account credentials; it does not provide a complete non-user rights route. Establish an accessible alternative before release. Never ask for a password by email or collect account-recovery secrets in a support ticket.</w:t>
      </w:r>
    </w:p>
    <w:p>
      <w:r>
        <w:t>Create a restricted case record with case ID, received timestamp, requested action, person's contact preference, minimal record locator, claimed capacity, scope, urgency, owner, applicable timing, evidence reference and current state. Acknowledge receipt clearly without confirming a person's inclusion to an unverified third party. Avoid reproducing stories or family relationships in the subject line or board dashboard.</w:t>
      </w:r>
    </w:p>
    <w:p>
      <w:r>
        <w:t>Proposed internal triage target: review new ordinary cases within one business day. Urgent child-safety, threats and unlawful disclosure are escalated immediately. This service target does not delay action that law requires sooner. Counsel supplies actual statutory timing and escalation channels; do not impose a standard 30-day waiting period on an applicable immediate-erasure case.</w:t>
      </w:r>
    </w:p>
    <w:p>
      <w:r>
        <w:t>Use states Received, Verification needed, Under review, Action scheduled, Executing, Completed, Partially completed, Referred or Declined with reasons. The app's current pending/cancelled/completed deletion states are insufficient evidence of the internal execution steps. Do not mark Completed simply because an administrator changes a status.</w:t>
      </w:r>
    </w:p>
    <w:p>
      <w:pPr>
        <w:pStyle w:val="Heading1"/>
      </w:pPr>
      <w:r>
        <w:t>Proportionate identity and representative checks</w:t>
      </w:r>
    </w:p>
    <w:p>
      <w:r>
        <w:t>For an account holder, prefer authenticated re-verification or an established recovery route. For a non-user, collect the minimum facts necessary to identify the target without exposing other records. For a representative, verify authority and its scope; a family relationship alone is not a general mandate. A guardian, estate representative and uploader may have different powers.</w:t>
      </w:r>
    </w:p>
    <w:p>
      <w:r>
        <w:t>Use a secure evidence channel if documents are genuinely required. Record the check and result, restrict raw copies and erase unnecessary copies promptly. Do not require excessive national identity papers for routine corrections. If verification fails, explain the minimum additional evidence needed or safe alternative without disclosing private records.</w:t>
      </w:r>
    </w:p>
    <w:p>
      <w:pPr>
        <w:pStyle w:val="Heading1"/>
      </w:pPr>
      <w:r>
        <w:t>Access correction restriction and portability</w:t>
      </w:r>
    </w:p>
    <w:p>
      <w:r>
        <w:t>For access, assemble information about the requester, sources, purposes, authorized recipients and relevant record use. Review references to other people and redact or explain protected portions. An export of the entire family is not a safe substitute for an individual's access response. Deliver through a secure verified channel and record receipt without retaining a redundant full archive.</w:t>
      </w:r>
    </w:p>
    <w:p>
      <w:r>
        <w:t>For factual correction, distinguish an obvious inaccurate fact from a contested relationship. Ask for proportionate evidence, show uncertainty where possible and use existing revision/conflict checks so one correction does not overwrite an unrelated change. The family owner may supply context but cannot veto a substantiated rights request. Suspend affected disclosure where appropriate while a dispute is reviewed; if the app cannot limit one record, decide a proportionate larger restriction with the privacy lead.</w:t>
      </w:r>
    </w:p>
    <w:p>
      <w:r>
        <w:t>For restriction or objection, identify processing affected: profile visibility, optional discovery, matching, story/media use or retention. Withdrawal from discovery must stop the relevant future processing; it does not authorize unrelated deletion or retention. Record the lawful disposition of each category. For portability, provide the person's approved information in a structured format without automatically exposing other relatives. Existing JSON tree export omits photo files and does not by itself fulfil every personal portability request.</w:t>
      </w:r>
    </w:p>
    <w:p>
      <w:pPr>
        <w:pStyle w:val="Heading1"/>
      </w:pPr>
      <w:r>
        <w:t>Account deletion execution</w:t>
      </w:r>
    </w:p>
    <w:p>
      <w:pPr>
        <w:pStyle w:val="Heading2"/>
      </w:pPr>
      <w:r>
        <w:t>Step one verification and scope</w:t>
      </w:r>
    </w:p>
    <w:p>
      <w:r>
        <w:t>Confirm the person and action; explain irreversible effects and distinguish account login, their personal record, their contributions and other people's data. Review any pending membership, import, save or recovery requests. Record applicable urgency and lawful exceptions. Cancel only while execution has not crossed an irreversible boundary, and do not create an arbitrary cooling-off period that defeats applicable rights.</w:t>
      </w:r>
    </w:p>
    <w:p>
      <w:pPr>
        <w:pStyle w:val="Heading2"/>
      </w:pPr>
      <w:r>
        <w:t>Step two inventory and disposition</w:t>
      </w:r>
    </w:p>
    <w:p>
      <w:r>
        <w:t>Map the account, linked person profiles, all trees and roles, owned families, relationships/events, stories/portraits, invitation and approval records, normalized ancestor indexes, cache keys, mutation receipts, credentials/tokens, support/report links, mail/provider copies and backups. Include copied imports and historical public settings where relevant. Assign Erase, Restrict, Truly anonymize, Transfer authorized administration, or Retain for identified lawful reason to each item. Pseudonymization alone is not anonymous if the person remains identifiable through context or links.</w:t>
      </w:r>
    </w:p>
    <w:p>
      <w:pPr>
        <w:pStyle w:val="Heading2"/>
      </w:pPr>
      <w:r>
        <w:t>Step three ownership and shared history</w:t>
      </w:r>
    </w:p>
    <w:p>
      <w:r>
        <w:t>Owner deletion may require a separately authorized transfer of administration, or removal/closure of an affected sole-owned tree. Verify the proposed new owner and remaining individual permissions; obtaining a successor does not justify retaining the departing person's information. Do not transfer user credentials or automatically appoint the next editor. A failed or contested transfer must not indefinitely hold the requester account open.</w:t>
      </w:r>
    </w:p>
    <w:p>
      <w:r>
        <w:t>Remove personal references from other people's stories or portraits where applicable, while avoiding indiscriminate destruction of their unrelated information. Counsel determines what may remain as lawful shared history. A removed name with unchanged distinctive relationships can still identify a person; assess indirect identifiers before describing a record as anonymized.</w:t>
      </w:r>
    </w:p>
    <w:p>
      <w:pPr>
        <w:pStyle w:val="Heading2"/>
      </w:pPr>
      <w:r>
        <w:t>Step four execute and verify</w:t>
      </w:r>
    </w:p>
    <w:p>
      <w:r>
        <w:t>The authorized operator runs a scoped, replay-safe execution with a second reviewer for destructive shared-tree actions. Prevent concurrent writes from recreating deleted items; revoke sessions, recovery material and invitation access at the appropriate point. Delete active records and affected media, update relationships safely, remove discovery indexes and pending mutation payloads, request processor action and clear applicable company/device caches. Never log a full family dump as deletion evidence.</w:t>
      </w:r>
    </w:p>
    <w:p>
      <w:r>
        <w:t>Verify outcomes with independent database/media/access checks and the subject's normal app paths. A mid-process failure remains In progress or Partially completed with restricted exposure and an assigned repair owner. Retry does not resurrect content or delete additional unrelated records. Audit evidence records categories/counts, references and completion checks, not unnecessary personal facts.</w:t>
      </w:r>
    </w:p>
    <w:p>
      <w:pPr>
        <w:pStyle w:val="Heading2"/>
      </w:pPr>
      <w:r>
        <w:t>Step five providers backups and confirmation</w:t>
      </w:r>
    </w:p>
    <w:p>
      <w:r>
        <w:t>Obtain provider confirmations and enforce approved backup treatment. The deletion/restriction ledger contains only the minimum reference necessary to prevent reintroduction and is itself controlled by a lawful retention rule. During recovery, restore into an isolated environment, apply the current ledger and verify suppression before opening access. Backup expiry is explained accurately; a rotated snapshot is not proof of immediate erasure from all media.</w:t>
      </w:r>
    </w:p>
    <w:p>
      <w:r>
        <w:t>Tell the requester what was erased, what remains, why, for how long or until which event, how backup copies are treated and what review route exists. Confirmation must identify actual completion time and outstanding provider or backup work. If retention makes the response partial, say so. Close the case only after assigned follow-ups are tracked.</w:t>
      </w:r>
    </w:p>
    <w:p>
      <w:pPr>
        <w:pStyle w:val="Heading1"/>
      </w:pPr>
      <w:r>
        <w:t>Deletion and lifecycle scenario checklist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41"/>
        <w:gridCol w:w="4365"/>
        <w:gridCol w:w="3231"/>
      </w:tblGrid>
      <w:tr>
        <w:trPr>
          <w:cantSplit/>
          <w:tblHeader/>
        </w:trPr>
        <w:tc>
          <w:tcPr>
            <w:tcW w:type="dxa" w:w="2041"/>
            <w:vAlign w:val="center"/>
            <w:shd w:fill="163957"/>
            <w:tcMar>
              <w:top w:w="95" w:type="dxa"/>
              <w:bottom w:w="95" w:type="dxa"/>
              <w:left w:w="110" w:type="dxa"/>
              <w:right w:w="110" w:type="dxa"/>
            </w:tcMar>
          </w:tcPr>
          <w:p>
            <w:pPr>
              <w:spacing w:after="0" w:line="259" w:lineRule="auto"/>
            </w:pPr>
            <w:r>
              <w:rPr>
                <w:b/>
                <w:color w:val="FFFFFF"/>
                <w:sz w:val="19"/>
              </w:rPr>
              <w:t>Scenario</w:t>
            </w:r>
          </w:p>
        </w:tc>
        <w:tc>
          <w:tcPr>
            <w:tcW w:type="dxa" w:w="4365"/>
            <w:vAlign w:val="center"/>
            <w:shd w:fill="163957"/>
            <w:tcMar>
              <w:top w:w="95" w:type="dxa"/>
              <w:bottom w:w="95" w:type="dxa"/>
              <w:left w:w="110" w:type="dxa"/>
              <w:right w:w="110" w:type="dxa"/>
            </w:tcMar>
          </w:tcPr>
          <w:p>
            <w:pPr>
              <w:spacing w:after="0" w:line="259" w:lineRule="auto"/>
            </w:pPr>
            <w:r>
              <w:rPr>
                <w:b/>
                <w:color w:val="FFFFFF"/>
                <w:sz w:val="19"/>
              </w:rPr>
              <w:t>Required disposition review</w:t>
            </w:r>
          </w:p>
        </w:tc>
        <w:tc>
          <w:tcPr>
            <w:tcW w:type="dxa" w:w="3231"/>
            <w:vAlign w:val="center"/>
            <w:shd w:fill="163957"/>
            <w:tcMar>
              <w:top w:w="95" w:type="dxa"/>
              <w:bottom w:w="95" w:type="dxa"/>
              <w:left w:w="110" w:type="dxa"/>
              <w:right w:w="110" w:type="dxa"/>
            </w:tcMar>
          </w:tcPr>
          <w:p>
            <w:pPr>
              <w:spacing w:after="0" w:line="259" w:lineRule="auto"/>
            </w:pPr>
            <w:r>
              <w:rPr>
                <w:b/>
                <w:color w:val="FFFFFF"/>
                <w:sz w:val="19"/>
              </w:rPr>
              <w:t>Acceptance evidence</w:t>
            </w:r>
          </w:p>
        </w:tc>
      </w:tr>
      <w:tr>
        <w:trPr>
          <w:cantSplit/>
        </w:trPr>
        <w:tc>
          <w:tcPr>
            <w:tcW w:type="dxa" w:w="2041"/>
            <w:vAlign w:val="center"/>
            <w:shd w:fill="FFFFFF"/>
            <w:tcMar>
              <w:top w:w="95" w:type="dxa"/>
              <w:bottom w:w="95" w:type="dxa"/>
              <w:left w:w="110" w:type="dxa"/>
              <w:right w:w="110" w:type="dxa"/>
            </w:tcMar>
          </w:tcPr>
          <w:p>
            <w:pPr>
              <w:spacing w:after="0" w:line="259" w:lineRule="auto"/>
            </w:pPr>
            <w:r>
              <w:rPr>
                <w:color w:val="000000"/>
                <w:sz w:val="19"/>
              </w:rPr>
              <w:t>Viewer or editor account</w:t>
            </w:r>
          </w:p>
        </w:tc>
        <w:tc>
          <w:tcPr>
            <w:tcW w:type="dxa" w:w="4365"/>
            <w:vAlign w:val="center"/>
            <w:shd w:fill="FFFFFF"/>
            <w:tcMar>
              <w:top w:w="95" w:type="dxa"/>
              <w:bottom w:w="95" w:type="dxa"/>
              <w:left w:w="110" w:type="dxa"/>
              <w:right w:w="110" w:type="dxa"/>
            </w:tcMar>
          </w:tcPr>
          <w:p>
            <w:pPr>
              <w:spacing w:after="0" w:line="259" w:lineRule="auto"/>
            </w:pPr>
            <w:r>
              <w:rPr>
                <w:color w:val="000000"/>
                <w:sz w:val="19"/>
              </w:rPr>
              <w:t>Account/session cleanup plus personal records and contributions, even without ownership</w:t>
            </w:r>
          </w:p>
        </w:tc>
        <w:tc>
          <w:tcPr>
            <w:tcW w:type="dxa" w:w="3231"/>
            <w:vAlign w:val="center"/>
            <w:shd w:fill="FFFFFF"/>
            <w:tcMar>
              <w:top w:w="95" w:type="dxa"/>
              <w:bottom w:w="95" w:type="dxa"/>
              <w:left w:w="110" w:type="dxa"/>
              <w:right w:w="110" w:type="dxa"/>
            </w:tcMar>
          </w:tcPr>
          <w:p>
            <w:pPr>
              <w:spacing w:after="0" w:line="259" w:lineRule="auto"/>
            </w:pPr>
            <w:r>
              <w:rPr>
                <w:color w:val="000000"/>
                <w:sz w:val="19"/>
              </w:rPr>
              <w:t>Revoked access and no residual discovery</w:t>
            </w:r>
          </w:p>
        </w:tc>
      </w:tr>
      <w:tr>
        <w:trPr>
          <w:cantSplit/>
        </w:trPr>
        <w:tc>
          <w:tcPr>
            <w:tcW w:type="dxa" w:w="2041"/>
            <w:vAlign w:val="center"/>
            <w:shd w:fill="EFF3F7"/>
            <w:tcMar>
              <w:top w:w="95" w:type="dxa"/>
              <w:bottom w:w="95" w:type="dxa"/>
              <w:left w:w="110" w:type="dxa"/>
              <w:right w:w="110" w:type="dxa"/>
            </w:tcMar>
          </w:tcPr>
          <w:p>
            <w:pPr>
              <w:spacing w:after="0" w:line="259" w:lineRule="auto"/>
            </w:pPr>
            <w:r>
              <w:rPr>
                <w:color w:val="000000"/>
                <w:sz w:val="19"/>
              </w:rPr>
              <w:t>Owner with willing successor</w:t>
            </w:r>
          </w:p>
        </w:tc>
        <w:tc>
          <w:tcPr>
            <w:tcW w:type="dxa" w:w="4365"/>
            <w:vAlign w:val="center"/>
            <w:shd w:fill="EFF3F7"/>
            <w:tcMar>
              <w:top w:w="95" w:type="dxa"/>
              <w:bottom w:w="95" w:type="dxa"/>
              <w:left w:w="110" w:type="dxa"/>
              <w:right w:w="110" w:type="dxa"/>
            </w:tcMar>
          </w:tcPr>
          <w:p>
            <w:pPr>
              <w:spacing w:after="0" w:line="259" w:lineRule="auto"/>
            </w:pPr>
            <w:r>
              <w:rPr>
                <w:color w:val="000000"/>
                <w:sz w:val="19"/>
              </w:rPr>
              <w:t>Separate administration transfer, valid rights for remaining records and requester disposition</w:t>
            </w:r>
          </w:p>
        </w:tc>
        <w:tc>
          <w:tcPr>
            <w:tcW w:type="dxa" w:w="3231"/>
            <w:vAlign w:val="center"/>
            <w:shd w:fill="EFF3F7"/>
            <w:tcMar>
              <w:top w:w="95" w:type="dxa"/>
              <w:bottom w:w="95" w:type="dxa"/>
              <w:left w:w="110" w:type="dxa"/>
              <w:right w:w="110" w:type="dxa"/>
            </w:tcMar>
          </w:tcPr>
          <w:p>
            <w:pPr>
              <w:spacing w:after="0" w:line="259" w:lineRule="auto"/>
            </w:pPr>
            <w:r>
              <w:rPr>
                <w:color w:val="000000"/>
                <w:sz w:val="19"/>
              </w:rPr>
              <w:t>Successor verified; requester rights completed</w:t>
            </w:r>
          </w:p>
        </w:tc>
      </w:tr>
      <w:tr>
        <w:trPr>
          <w:cantSplit/>
        </w:trPr>
        <w:tc>
          <w:tcPr>
            <w:tcW w:type="dxa" w:w="2041"/>
            <w:vAlign w:val="center"/>
            <w:shd w:fill="FFFFFF"/>
            <w:tcMar>
              <w:top w:w="95" w:type="dxa"/>
              <w:bottom w:w="95" w:type="dxa"/>
              <w:left w:w="110" w:type="dxa"/>
              <w:right w:w="110" w:type="dxa"/>
            </w:tcMar>
          </w:tcPr>
          <w:p>
            <w:pPr>
              <w:spacing w:after="0" w:line="259" w:lineRule="auto"/>
            </w:pPr>
            <w:r>
              <w:rPr>
                <w:color w:val="000000"/>
                <w:sz w:val="19"/>
              </w:rPr>
              <w:t>Sole owner without successor</w:t>
            </w:r>
          </w:p>
        </w:tc>
        <w:tc>
          <w:tcPr>
            <w:tcW w:type="dxa" w:w="4365"/>
            <w:vAlign w:val="center"/>
            <w:shd w:fill="FFFFFF"/>
            <w:tcMar>
              <w:top w:w="95" w:type="dxa"/>
              <w:bottom w:w="95" w:type="dxa"/>
              <w:left w:w="110" w:type="dxa"/>
              <w:right w:w="110" w:type="dxa"/>
            </w:tcMar>
          </w:tcPr>
          <w:p>
            <w:pPr>
              <w:spacing w:after="0" w:line="259" w:lineRule="auto"/>
            </w:pPr>
            <w:r>
              <w:rPr>
                <w:color w:val="000000"/>
                <w:sz w:val="19"/>
              </w:rPr>
              <w:t>Tree closure/removal decision with other subjects' rights protected</w:t>
            </w:r>
          </w:p>
        </w:tc>
        <w:tc>
          <w:tcPr>
            <w:tcW w:type="dxa" w:w="3231"/>
            <w:vAlign w:val="center"/>
            <w:shd w:fill="FFFFFF"/>
            <w:tcMar>
              <w:top w:w="95" w:type="dxa"/>
              <w:bottom w:w="95" w:type="dxa"/>
              <w:left w:w="110" w:type="dxa"/>
              <w:right w:w="110" w:type="dxa"/>
            </w:tcMar>
          </w:tcPr>
          <w:p>
            <w:pPr>
              <w:spacing w:after="0" w:line="259" w:lineRule="auto"/>
            </w:pPr>
            <w:r>
              <w:rPr>
                <w:color w:val="000000"/>
                <w:sz w:val="19"/>
              </w:rPr>
              <w:t>No orphan exposure or indefinite pending account</w:t>
            </w:r>
          </w:p>
        </w:tc>
      </w:tr>
      <w:tr>
        <w:trPr>
          <w:cantSplit/>
        </w:trPr>
        <w:tc>
          <w:tcPr>
            <w:tcW w:type="dxa" w:w="2041"/>
            <w:vAlign w:val="center"/>
            <w:shd w:fill="EFF3F7"/>
            <w:tcMar>
              <w:top w:w="95" w:type="dxa"/>
              <w:bottom w:w="95" w:type="dxa"/>
              <w:left w:w="110" w:type="dxa"/>
              <w:right w:w="110" w:type="dxa"/>
            </w:tcMar>
          </w:tcPr>
          <w:p>
            <w:pPr>
              <w:spacing w:after="0" w:line="259" w:lineRule="auto"/>
            </w:pPr>
            <w:r>
              <w:rPr>
                <w:color w:val="000000"/>
                <w:sz w:val="19"/>
              </w:rPr>
              <w:t>Non-user living relative</w:t>
            </w:r>
          </w:p>
        </w:tc>
        <w:tc>
          <w:tcPr>
            <w:tcW w:type="dxa" w:w="4365"/>
            <w:vAlign w:val="center"/>
            <w:shd w:fill="EFF3F7"/>
            <w:tcMar>
              <w:top w:w="95" w:type="dxa"/>
              <w:bottom w:w="95" w:type="dxa"/>
              <w:left w:w="110" w:type="dxa"/>
              <w:right w:w="110" w:type="dxa"/>
            </w:tcMar>
          </w:tcPr>
          <w:p>
            <w:pPr>
              <w:spacing w:after="0" w:line="259" w:lineRule="auto"/>
            </w:pPr>
            <w:r>
              <w:rPr>
                <w:color w:val="000000"/>
                <w:sz w:val="19"/>
              </w:rPr>
              <w:t>Identity review and information across all related records</w:t>
            </w:r>
          </w:p>
        </w:tc>
        <w:tc>
          <w:tcPr>
            <w:tcW w:type="dxa" w:w="3231"/>
            <w:vAlign w:val="center"/>
            <w:shd w:fill="EFF3F7"/>
            <w:tcMar>
              <w:top w:w="95" w:type="dxa"/>
              <w:bottom w:w="95" w:type="dxa"/>
              <w:left w:w="110" w:type="dxa"/>
              <w:right w:w="110" w:type="dxa"/>
            </w:tcMar>
          </w:tcPr>
          <w:p>
            <w:pPr>
              <w:spacing w:after="0" w:line="259" w:lineRule="auto"/>
            </w:pPr>
            <w:r>
              <w:rPr>
                <w:color w:val="000000"/>
                <w:sz w:val="19"/>
              </w:rPr>
              <w:t>Request possible without login or owner permission</w:t>
            </w:r>
          </w:p>
        </w:tc>
      </w:tr>
      <w:tr>
        <w:trPr>
          <w:cantSplit/>
        </w:trPr>
        <w:tc>
          <w:tcPr>
            <w:tcW w:type="dxa" w:w="2041"/>
            <w:vAlign w:val="center"/>
            <w:shd w:fill="FFFFFF"/>
            <w:tcMar>
              <w:top w:w="95" w:type="dxa"/>
              <w:bottom w:w="95" w:type="dxa"/>
              <w:left w:w="110" w:type="dxa"/>
              <w:right w:w="110" w:type="dxa"/>
            </w:tcMar>
          </w:tcPr>
          <w:p>
            <w:pPr>
              <w:spacing w:after="0" w:line="259" w:lineRule="auto"/>
            </w:pPr>
            <w:r>
              <w:rPr>
                <w:color w:val="000000"/>
                <w:sz w:val="19"/>
              </w:rPr>
              <w:t>Child or guardian request</w:t>
            </w:r>
          </w:p>
        </w:tc>
        <w:tc>
          <w:tcPr>
            <w:tcW w:type="dxa" w:w="4365"/>
            <w:vAlign w:val="center"/>
            <w:shd w:fill="FFFFFF"/>
            <w:tcMar>
              <w:top w:w="95" w:type="dxa"/>
              <w:bottom w:w="95" w:type="dxa"/>
              <w:left w:w="110" w:type="dxa"/>
              <w:right w:w="110" w:type="dxa"/>
            </w:tcMar>
          </w:tcPr>
          <w:p>
            <w:pPr>
              <w:spacing w:after="0" w:line="259" w:lineRule="auto"/>
            </w:pPr>
            <w:r>
              <w:rPr>
                <w:color w:val="000000"/>
                <w:sz w:val="19"/>
              </w:rPr>
              <w:t>Verified authority, minimal evidence and urgent safety assessment</w:t>
            </w:r>
          </w:p>
        </w:tc>
        <w:tc>
          <w:tcPr>
            <w:tcW w:type="dxa" w:w="3231"/>
            <w:vAlign w:val="center"/>
            <w:shd w:fill="FFFFFF"/>
            <w:tcMar>
              <w:top w:w="95" w:type="dxa"/>
              <w:bottom w:w="95" w:type="dxa"/>
              <w:left w:w="110" w:type="dxa"/>
              <w:right w:w="110" w:type="dxa"/>
            </w:tcMar>
          </w:tcPr>
          <w:p>
            <w:pPr>
              <w:spacing w:after="0" w:line="259" w:lineRule="auto"/>
            </w:pPr>
            <w:r>
              <w:rPr>
                <w:color w:val="000000"/>
                <w:sz w:val="19"/>
              </w:rPr>
              <w:t>No disclosure to an unverified adult</w:t>
            </w:r>
          </w:p>
        </w:tc>
      </w:tr>
      <w:tr>
        <w:trPr>
          <w:cantSplit/>
        </w:trPr>
        <w:tc>
          <w:tcPr>
            <w:tcW w:type="dxa" w:w="2041"/>
            <w:vAlign w:val="center"/>
            <w:shd w:fill="EFF3F7"/>
            <w:tcMar>
              <w:top w:w="95" w:type="dxa"/>
              <w:bottom w:w="95" w:type="dxa"/>
              <w:left w:w="110" w:type="dxa"/>
              <w:right w:w="110" w:type="dxa"/>
            </w:tcMar>
          </w:tcPr>
          <w:p>
            <w:pPr>
              <w:spacing w:after="0" w:line="259" w:lineRule="auto"/>
            </w:pPr>
            <w:r>
              <w:rPr>
                <w:color w:val="000000"/>
                <w:sz w:val="19"/>
              </w:rPr>
              <w:t>Deceased person</w:t>
            </w:r>
          </w:p>
        </w:tc>
        <w:tc>
          <w:tcPr>
            <w:tcW w:type="dxa" w:w="4365"/>
            <w:vAlign w:val="center"/>
            <w:shd w:fill="EFF3F7"/>
            <w:tcMar>
              <w:top w:w="95" w:type="dxa"/>
              <w:bottom w:w="95" w:type="dxa"/>
              <w:left w:w="110" w:type="dxa"/>
              <w:right w:w="110" w:type="dxa"/>
            </w:tcMar>
          </w:tcPr>
          <w:p>
            <w:pPr>
              <w:spacing w:after="0" w:line="259" w:lineRule="auto"/>
            </w:pPr>
            <w:r>
              <w:rPr>
                <w:color w:val="000000"/>
                <w:sz w:val="19"/>
              </w:rPr>
              <w:t>Applicable instructions/authority and lawful retention reviewed</w:t>
            </w:r>
          </w:p>
        </w:tc>
        <w:tc>
          <w:tcPr>
            <w:tcW w:type="dxa" w:w="3231"/>
            <w:vAlign w:val="center"/>
            <w:shd w:fill="EFF3F7"/>
            <w:tcMar>
              <w:top w:w="95" w:type="dxa"/>
              <w:bottom w:w="95" w:type="dxa"/>
              <w:left w:w="110" w:type="dxa"/>
              <w:right w:w="110" w:type="dxa"/>
            </w:tcMar>
          </w:tcPr>
          <w:p>
            <w:pPr>
              <w:spacing w:after="0" w:line="259" w:lineRule="auto"/>
            </w:pPr>
            <w:r>
              <w:rPr>
                <w:color w:val="000000"/>
                <w:sz w:val="19"/>
              </w:rPr>
              <w:t>Written counsel-approved disposition</w:t>
            </w:r>
          </w:p>
        </w:tc>
      </w:tr>
      <w:tr>
        <w:trPr>
          <w:cantSplit/>
        </w:trPr>
        <w:tc>
          <w:tcPr>
            <w:tcW w:type="dxa" w:w="2041"/>
            <w:vAlign w:val="center"/>
            <w:shd w:fill="FFFFFF"/>
            <w:tcMar>
              <w:top w:w="95" w:type="dxa"/>
              <w:bottom w:w="95" w:type="dxa"/>
              <w:left w:w="110" w:type="dxa"/>
              <w:right w:w="110" w:type="dxa"/>
            </w:tcMar>
          </w:tcPr>
          <w:p>
            <w:pPr>
              <w:spacing w:after="0" w:line="259" w:lineRule="auto"/>
            </w:pPr>
            <w:r>
              <w:rPr>
                <w:color w:val="000000"/>
                <w:sz w:val="19"/>
              </w:rPr>
              <w:t>Repeated request or concurrent import</w:t>
            </w:r>
          </w:p>
        </w:tc>
        <w:tc>
          <w:tcPr>
            <w:tcW w:type="dxa" w:w="4365"/>
            <w:vAlign w:val="center"/>
            <w:shd w:fill="FFFFFF"/>
            <w:tcMar>
              <w:top w:w="95" w:type="dxa"/>
              <w:bottom w:w="95" w:type="dxa"/>
              <w:left w:w="110" w:type="dxa"/>
              <w:right w:w="110" w:type="dxa"/>
            </w:tcMar>
          </w:tcPr>
          <w:p>
            <w:pPr>
              <w:spacing w:after="0" w:line="259" w:lineRule="auto"/>
            </w:pPr>
            <w:r>
              <w:rPr>
                <w:color w:val="000000"/>
                <w:sz w:val="19"/>
              </w:rPr>
              <w:t>Stable execution identity and suppression against recreation</w:t>
            </w:r>
          </w:p>
        </w:tc>
        <w:tc>
          <w:tcPr>
            <w:tcW w:type="dxa" w:w="3231"/>
            <w:vAlign w:val="center"/>
            <w:shd w:fill="FFFFFF"/>
            <w:tcMar>
              <w:top w:w="95" w:type="dxa"/>
              <w:bottom w:w="95" w:type="dxa"/>
              <w:left w:w="110" w:type="dxa"/>
              <w:right w:w="110" w:type="dxa"/>
            </w:tcMar>
          </w:tcPr>
          <w:p>
            <w:pPr>
              <w:spacing w:after="0" w:line="259" w:lineRule="auto"/>
            </w:pPr>
            <w:r>
              <w:rPr>
                <w:color w:val="000000"/>
                <w:sz w:val="19"/>
              </w:rPr>
              <w:t>Replay safe; no duplicated or revived data</w:t>
            </w:r>
          </w:p>
        </w:tc>
      </w:tr>
      <w:tr>
        <w:trPr>
          <w:cantSplit/>
        </w:trPr>
        <w:tc>
          <w:tcPr>
            <w:tcW w:type="dxa" w:w="2041"/>
            <w:vAlign w:val="center"/>
            <w:shd w:fill="EFF3F7"/>
            <w:tcMar>
              <w:top w:w="95" w:type="dxa"/>
              <w:bottom w:w="95" w:type="dxa"/>
              <w:left w:w="110" w:type="dxa"/>
              <w:right w:w="110" w:type="dxa"/>
            </w:tcMar>
          </w:tcPr>
          <w:p>
            <w:pPr>
              <w:spacing w:after="0" w:line="259" w:lineRule="auto"/>
            </w:pPr>
            <w:r>
              <w:rPr>
                <w:color w:val="000000"/>
                <w:sz w:val="19"/>
              </w:rPr>
              <w:t>Legal hold</w:t>
            </w:r>
          </w:p>
        </w:tc>
        <w:tc>
          <w:tcPr>
            <w:tcW w:type="dxa" w:w="4365"/>
            <w:vAlign w:val="center"/>
            <w:shd w:fill="EFF3F7"/>
            <w:tcMar>
              <w:top w:w="95" w:type="dxa"/>
              <w:bottom w:w="95" w:type="dxa"/>
              <w:left w:w="110" w:type="dxa"/>
              <w:right w:w="110" w:type="dxa"/>
            </w:tcMar>
          </w:tcPr>
          <w:p>
            <w:pPr>
              <w:spacing w:after="0" w:line="259" w:lineRule="auto"/>
            </w:pPr>
            <w:r>
              <w:rPr>
                <w:color w:val="000000"/>
                <w:sz w:val="19"/>
              </w:rPr>
              <w:t>Specific authority, scope, expiry/review and segregated access</w:t>
            </w:r>
          </w:p>
        </w:tc>
        <w:tc>
          <w:tcPr>
            <w:tcW w:type="dxa" w:w="3231"/>
            <w:vAlign w:val="center"/>
            <w:shd w:fill="EFF3F7"/>
            <w:tcMar>
              <w:top w:w="95" w:type="dxa"/>
              <w:bottom w:w="95" w:type="dxa"/>
              <w:left w:w="110" w:type="dxa"/>
              <w:right w:w="110" w:type="dxa"/>
            </w:tcMar>
          </w:tcPr>
          <w:p>
            <w:pPr>
              <w:spacing w:after="0" w:line="259" w:lineRule="auto"/>
            </w:pPr>
            <w:r>
              <w:rPr>
                <w:color w:val="000000"/>
                <w:sz w:val="19"/>
              </w:rPr>
              <w:t>Narrow retention, explanation where lawful</w:t>
            </w:r>
          </w:p>
        </w:tc>
      </w:tr>
    </w:tbl>
    <w:p>
      <w:pPr>
        <w:spacing w:after="60"/>
      </w:pPr>
    </w:p>
    <w:p>
      <w:pPr>
        <w:pStyle w:val="Heading1"/>
      </w:pPr>
      <w:r>
        <w:t>Joining invitations and ownership disputes</w:t>
      </w:r>
    </w:p>
    <w:p>
      <w:r>
        <w:t>For suspected impersonation or a leaked invitation, revoke the invitation and investigate access logs without revealing the whole family to the claimant. Obtain the owner/requester accounts and target profile through protected references. Verify role and identity separately from recorded ancestry. A similar ancestor name is not proof of eligibility. Document approval, rejection or revocation and the safe explanation sent to each participant.</w:t>
      </w:r>
    </w:p>
    <w:p>
      <w:r>
        <w:t>When family administrators disagree, pause disputed role changes and route control/rights concerns separately. Staff do not decide biological parentage, inheritance or legal succession through app permissions. Refer required legal questions to counsel. A company's moderation action can remove unsafe disclosure without declaring a historical fact true or false.</w:t>
      </w:r>
    </w:p>
    <w:p>
      <w:pPr>
        <w:pStyle w:val="Heading1"/>
      </w:pPr>
      <w:r>
        <w:t>Content reports safety and review</w:t>
      </w:r>
    </w:p>
    <w:p>
      <w:r>
        <w:t>Use the existing report receipt and operator response workflow. Triage unlawful disclosure, harassment, exploitation, copyright issues, impersonation and inaccurate records. Review only accessible necessary evidence with least privilege. The reporter's identity must not be shared with the complained-about member as routine practice. Notify recipients only as necessary and safe; avoid exposing a child or victim's location through the response.</w:t>
      </w:r>
    </w:p>
    <w:p>
      <w:r>
        <w:t>Record reason, affected content/access, evidence, proportional action and response. Serious ongoing harm warrants immediate restriction and legal escalation. Resolve with a meaningful response rather than a generic status change. Provide independent review by a second operator or external reviewer when the original operator is conflicted. An appeal does not automatically restore unsafe content. Do not promise a public social-network blocking workflow the app has not implemented.</w:t>
      </w:r>
    </w:p>
    <w:p>
      <w:pPr>
        <w:pStyle w:val="Heading1"/>
      </w:pPr>
      <w:r>
        <w:t>Imports exports and historical data review</w:t>
      </w:r>
    </w:p>
    <w:p>
      <w:r>
        <w:t>Before a real-data import, verify inclusion permissions and the rights of all people represented. The app's import warning/count preview assists the user but is not legal clearance. Existing exported JSON can contain multiple relatives' data; maintain access checks, revision/retry integrity and destination confirmation. If an export is reported as unlawfully shared, record known recipients and seek an appropriate remedy without claiming remote recall.</w:t>
      </w:r>
    </w:p>
    <w:p>
      <w:r>
        <w:t>Review historical real datasets for earlier visibility or permission gaps before migration. Identify provenance and exposure periods, restrict unauthorized processing, assess any incident duties, and notify affected people where required. A server switch to private access does not retrospectively cure a prior disclosure or consent defect.</w:t>
      </w:r>
    </w:p>
    <w:p>
      <w:pPr>
        <w:pStyle w:val="Heading1"/>
      </w:pPr>
      <w:r>
        <w:t>Case forms and response templates</w:t>
      </w:r>
    </w:p>
    <w:p>
      <w:pPr>
        <w:pStyle w:val="Heading2"/>
      </w:pPr>
      <w:r>
        <w:t>Rights request form</w:t>
      </w:r>
    </w:p>
    <w:p>
      <w:r>
        <w:t>Case ID [ ]. Received [ ]. Request type [access/correction/erasure/restriction/objection/portability/withdrawal/post-mortem]. Requester contact [ ]. Account optional [ ]. Record locator [minimal]. Represented person/authority [ ]. Exact requested action [ ]. Safety concern [ ]. Preferred language/channel [ ]. Evidence reference [restricted]. Staff owner [ ]. Applicable timing [legal review]. Do not request passwords.</w:t>
      </w:r>
    </w:p>
    <w:p>
      <w:pPr>
        <w:pStyle w:val="Heading2"/>
      </w:pPr>
      <w:r>
        <w:t>Disposition record</w:t>
      </w:r>
    </w:p>
    <w:p>
      <w:r>
        <w:t>Case [ ]. Verified authority [ ]. Categories and copies reviewed [ ]. Per-category action/reason [ ]. Shared administration decision [ ]. Necessary recipients [ ]. Lawful hold scope/review [ ]. Execution identity [ ]. Authorized operator/reviewer [ ]. Provider instructions/receipts [ ]. Backup/suppression handling [ ]. Verification [ ]. Remaining follow-ups [ ]. Actual completion [ ].</w:t>
      </w:r>
    </w:p>
    <w:p>
      <w:pPr>
        <w:pStyle w:val="Heading2"/>
      </w:pPr>
      <w:r>
        <w:t>Acknowledgement</w:t>
      </w:r>
    </w:p>
    <w:p>
      <w:r>
        <w:t>We received your request [case reference] on [date]. This confirms receipt, not completion. We need [minimum additional evidence, if applicable] through [secure route]. The assigned team will explain the action and applicable timing. Contact [verified contact] if there is an urgent safety concern. Do not send your password or recovery code.</w:t>
      </w:r>
    </w:p>
    <w:p>
      <w:pPr>
        <w:pStyle w:val="Heading2"/>
      </w:pPr>
      <w:r>
        <w:t>Completion or partial completion</w:t>
      </w:r>
    </w:p>
    <w:p>
      <w:r>
        <w:t>For request [case], on [date] we completed [specific actions]. The following information remains [categories], for [verified reason] until [period/event]. Provider and backup handling is [actual state]. Outstanding actions [owner/date]. You may request review through [route] or exercise applicable complaint rights. Do not describe a partial result as full erasure.</w:t>
      </w:r>
    </w:p>
    <w:p>
      <w:pPr>
        <w:pStyle w:val="Heading2"/>
      </w:pPr>
      <w:r>
        <w:t>Content decision and review request</w:t>
      </w:r>
    </w:p>
    <w:p>
      <w:r>
        <w:t>Report [case] was reviewed for [safe summary]. Action [restriction/correction/removal/other] was taken on [date] for [reason suitable for disclosure]. We have not disclosed other people's private information in this response. To request review, contact [route] with the case reference and relevant facts. Urgent safety concerns [contact].</w:t>
      </w:r>
    </w:p>
    <w:p>
      <w:pPr>
        <w:pStyle w:val="Heading1"/>
      </w:pPr>
      <w:r>
        <w:t>Adoption and operator training</w:t>
      </w:r>
    </w:p>
    <w:p>
      <w:r>
        <w:t>Train operators using synthetic viewer, editor, owner, sole-owner, non-user, child, deceased and conflicting-import cases. Complete a full deletion demonstration including provider copies, portraits, indexes and restored backups before public release. Evidence [ ]; procedure owner [ ]; legal approval [ ]; board adoption [ ]; effective date [ ]; deputy/reviewer [ ]; review date [ ].</w:t>
      </w:r>
    </w:p>
    <w:sectPr w:rsidR="00FC693F" w:rsidRPr="0006063C" w:rsidSect="00034616">
      <w:footerReference w:type="default" r:id="rId9"/>
      <w:pgSz w:w="11906" w:h="16838"/>
      <w:pgMar w:top="1049" w:right="1134" w:bottom="1049" w:left="1134"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000000"/>
        <w:sz w:val="16"/>
      </w:rPr>
      <w:t xml:space="preserve">04  |  KKEVO Tech  |  Board review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40"/>
      <w:outlineLvl w:val="0"/>
    </w:pPr>
    <w:rPr>
      <w:rFonts w:asciiTheme="majorHAnsi" w:eastAsiaTheme="majorEastAsia" w:hAnsiTheme="majorHAnsi" w:cstheme="majorBidi" w:ascii="Arial" w:hAnsi="Arial"/>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40" w:after="14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40" w:after="140"/>
      <w:outlineLvl w:val="2"/>
    </w:pPr>
    <w:rPr>
      <w:rFonts w:asciiTheme="majorHAnsi" w:eastAsiaTheme="majorEastAsia" w:hAnsiTheme="majorHAnsi" w:cstheme="majorBidi" w:ascii="Arial" w:hAnsi="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40" w:line="240" w:lineRule="auto" w:before="0"/>
      <w:contextualSpacing/>
    </w:pPr>
    <w:rPr>
      <w:rFonts w:asciiTheme="majorHAnsi" w:eastAsiaTheme="majorEastAsia" w:hAnsiTheme="majorHAnsi" w:cstheme="majorBidi" w:ascii="Arial" w:hAnsi="Arial"/>
      <w:b/>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after="140" w:before="0"/>
    </w:pPr>
    <w:rPr>
      <w:rFonts w:asciiTheme="majorHAnsi" w:eastAsiaTheme="majorEastAsia" w:hAnsiTheme="majorHAnsi" w:cstheme="majorBidi" w:ascii="Arial" w:hAnsi="Arial"/>
      <w:b w:val="0"/>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40"/>
      <w:contextualSpacing/>
    </w:pPr>
    <w:rPr>
      <w:rFonts w:ascii="Arial" w:hAnsi="Arial"/>
      <w:color w:val="00000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40"/>
      <w:contextualSpacing/>
    </w:pPr>
    <w:rPr>
      <w:rFonts w:ascii="Arial" w:hAnsi="Arial"/>
      <w:color w:val="00000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Kkevo Family data rights and family content procedures</dc:title>
  <dc:subject>Kkevo Family company formation and data governance</dc:subject>
  <dc:creator>KKEVO Tech</dc:creator>
  <cp:keywords/>
  <dc:description>generated by python-docx</dc:description>
  <cp:lastModifiedBy/>
  <cp:revision>1</cp:revision>
  <dcterms:created xsi:type="dcterms:W3CDTF">2013-12-23T23:15:00Z</dcterms:created>
  <dcterms:modified xsi:type="dcterms:W3CDTF">2013-12-23T23:15:00Z</dcterms:modified>
  <cp:category/>
  <cp:version>0.1</cp:version>
</cp:coreProperties>
</file>