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Kkevo Family security incident and recovery procedures</w:t>
      </w:r>
    </w:p>
    <w:p>
      <w:r>
        <w:t>Document KKT SEC 001 | Version 0.1 | Confidential | Proposed security policy</w:t>
      </w:r>
    </w:p>
    <w:p>
      <w:r>
        <w:t>KKEVO Tech must protect the app, API, family database, portraits, credentials, provider accounts and operational records. These procedures set the proposed operating standard. Existing local tests do not establish a deployed security program. The security lead must complete control evidence, escalation contacts and exercises before the policy becomes effective.</w:t>
      </w:r>
    </w:p>
    <w:p>
      <w:pPr>
        <w:pStyle w:val="Heading1"/>
      </w:pPr>
      <w:r>
        <w:t>Staff access and privileged actions</w:t>
      </w:r>
    </w:p>
    <w:p>
      <w:r>
        <w:t>Use individual company accounts, multifactor authentication for provider and privileged accounts where supported, and role-based least privilege. Do not share the database superuser, Play owner account or signing key. Separate ordinary support access from privileged database/media administration. Grant production access only after documented approval, training and contractual confidentiality. Log access purpose and action using minimal metadata.</w:t>
      </w:r>
    </w:p>
    <w:p>
      <w:r>
        <w:t>Review privileged access monthly during pilot and at least quarterly thereafter as a proposed company cadence. Remove access promptly on departure or role change, revoke sessions and rotate secrets known to the departing person. Time-limit emergency access, record the reason and obtain retrospective independent review. Board reporting uses redacted case summaries, not unrestricted browsing of family content.</w:t>
      </w:r>
    </w:p>
    <w:p>
      <w:r>
        <w:t>Privileged deletion, shared-tree closure, backup restoration and signing custody changes require a second reviewer. If staffing cannot provide one, appoint an external reviewer and document emergency exceptions. Avoid delaying urgent lawful erasure or incident containment; record the emergency action and review promptly.</w:t>
      </w:r>
    </w:p>
    <w:p>
      <w:pPr>
        <w:pStyle w:val="Heading1"/>
      </w:pPr>
      <w:r>
        <w:t>Environment deployment and secret controls</w:t>
      </w:r>
    </w:p>
    <w:p>
      <w:r>
        <w:t>Separate development, staging and production, including credentials, mail, storage and logs. Use synthetic records for ordinary development and demonstrations. Real-data migration or support copies need their own approved purpose, scope, permissions, expiry and access controls. Do not transfer database dumps into personal drives or public tickets.</w:t>
      </w:r>
    </w:p>
    <w:p>
      <w:r>
        <w:t>Use public HTTPS in the release, protected secrets, private media storage and restrictive raw-file paths. Confirm effective server membership checks, backup encryption/access protection, signed-link expiry, token/recovery behavior and dependency security. Graph caches are app-private; they are not a claim of end-to-end encryption. Selected exports may remain in user-controlled storage. Test those boundaries on the signed app.</w:t>
      </w:r>
    </w:p>
    <w:p>
      <w:r>
        <w:t>Protect upload types/sizes, imports, parser errors, throttling, transactional changes and idempotent uncertain retries. Remove account names, family stories, passwords, tokens and secret URLs from logs and error tracking. Use approved structured security events and limited source-address retention. Record collection by every SDK and service; disabling a dashboard is not proof that its SDK sends no data.</w:t>
      </w:r>
    </w:p>
    <w:p>
      <w:pPr>
        <w:pStyle w:val="Heading1"/>
      </w:pPr>
      <w:r>
        <w:t>Incident identification and immediate response</w:t>
      </w:r>
    </w:p>
    <w:p>
      <w:r>
        <w:t>Examples include outsiders accessing a tree, exposed raw media, stolen credentials, incorrect family approval, unauthorized export, unrecoverable data loss, malware, fraudulent support requests and data resurrected from backups. A content report may also reveal a personal-data breach; assess both routes.</w:t>
      </w:r>
    </w:p>
    <w:p>
      <w:r>
        <w:t>Any worker reports a suspected incident immediately to [security escalation contact] and [privacy lead]. The first responder preserves minimal evidence, records when the company became aware, contains exposure within their authority and calls the incident lead. Do not delete relevant logs indiscriminately, alter evidence or send family dumps through email.</w:t>
      </w:r>
    </w:p>
    <w:p>
      <w:r>
        <w:t>Counsel must operationalize the immediate authority and data-subject notification obligations identified in document 00. Do not wait for a complete forensic report or a board meeting before addressing notification. Use the verified authority channel and retain submission proof. If facts are incomplete, send the appropriate initial information and documented updates under legal guidance. An internal response target is never a substitute for legal timing.</w:t>
      </w:r>
    </w:p>
    <w:p>
      <w:pPr>
        <w:pStyle w:val="Heading1"/>
      </w:pPr>
      <w:r>
        <w:t>Severity and authority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4365"/>
        <w:gridCol w:w="3231"/>
      </w:tblGrid>
      <w:tr>
        <w:trPr>
          <w:cantSplit/>
          <w:tblHeader/>
        </w:trPr>
        <w:tc>
          <w:tcPr>
            <w:tcW w:type="dxa" w:w="2041"/>
            <w:vAlign w:val="center"/>
            <w:shd w:fill="163957"/>
            <w:tcMar>
              <w:top w:w="95" w:type="dxa"/>
              <w:bottom w:w="95" w:type="dxa"/>
              <w:left w:w="110" w:type="dxa"/>
              <w:right w:w="110" w:type="dxa"/>
            </w:tcMar>
          </w:tcPr>
          <w:p>
            <w:pPr>
              <w:spacing w:after="0" w:line="259" w:lineRule="auto"/>
            </w:pPr>
            <w:r>
              <w:rPr>
                <w:b/>
                <w:color w:val="FFFFFF"/>
                <w:sz w:val="19"/>
              </w:rPr>
              <w:t>Severity</w:t>
            </w:r>
          </w:p>
        </w:tc>
        <w:tc>
          <w:tcPr>
            <w:tcW w:type="dxa" w:w="4365"/>
            <w:vAlign w:val="center"/>
            <w:shd w:fill="163957"/>
            <w:tcMar>
              <w:top w:w="95" w:type="dxa"/>
              <w:bottom w:w="95" w:type="dxa"/>
              <w:left w:w="110" w:type="dxa"/>
              <w:right w:w="110" w:type="dxa"/>
            </w:tcMar>
          </w:tcPr>
          <w:p>
            <w:pPr>
              <w:spacing w:after="0" w:line="259" w:lineRule="auto"/>
            </w:pPr>
            <w:r>
              <w:rPr>
                <w:b/>
                <w:color w:val="FFFFFF"/>
                <w:sz w:val="19"/>
              </w:rPr>
              <w:t>Example</w:t>
            </w:r>
          </w:p>
        </w:tc>
        <w:tc>
          <w:tcPr>
            <w:tcW w:type="dxa" w:w="3231"/>
            <w:vAlign w:val="center"/>
            <w:shd w:fill="163957"/>
            <w:tcMar>
              <w:top w:w="95" w:type="dxa"/>
              <w:bottom w:w="95" w:type="dxa"/>
              <w:left w:w="110" w:type="dxa"/>
              <w:right w:w="110" w:type="dxa"/>
            </w:tcMar>
          </w:tcPr>
          <w:p>
            <w:pPr>
              <w:spacing w:after="0" w:line="259" w:lineRule="auto"/>
            </w:pPr>
            <w:r>
              <w:rPr>
                <w:b/>
                <w:color w:val="FFFFFF"/>
                <w:sz w:val="19"/>
              </w:rPr>
              <w:t>Response and accountable owner</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Critical</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Active unauthorized family disclosure, child harm, compromised signing/production keys</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Incident lead contains immediately; privacy/counsel assess notification; manager funds response</w:t>
            </w:r>
          </w:p>
        </w:tc>
      </w:tr>
      <w:tr>
        <w:trPr>
          <w:cantSplit/>
        </w:trPr>
        <w:tc>
          <w:tcPr>
            <w:tcW w:type="dxa" w:w="2041"/>
            <w:vAlign w:val="center"/>
            <w:shd w:fill="EFF3F7"/>
            <w:tcMar>
              <w:top w:w="95" w:type="dxa"/>
              <w:bottom w:w="95" w:type="dxa"/>
              <w:left w:w="110" w:type="dxa"/>
              <w:right w:w="110" w:type="dxa"/>
            </w:tcMar>
          </w:tcPr>
          <w:p>
            <w:pPr>
              <w:spacing w:after="0" w:line="259" w:lineRule="auto"/>
            </w:pPr>
            <w:r>
              <w:rPr>
                <w:color w:val="000000"/>
                <w:sz w:val="19"/>
              </w:rPr>
              <w:t>High</w:t>
            </w:r>
          </w:p>
        </w:tc>
        <w:tc>
          <w:tcPr>
            <w:tcW w:type="dxa" w:w="4365"/>
            <w:vAlign w:val="center"/>
            <w:shd w:fill="EFF3F7"/>
            <w:tcMar>
              <w:top w:w="95" w:type="dxa"/>
              <w:bottom w:w="95" w:type="dxa"/>
              <w:left w:w="110" w:type="dxa"/>
              <w:right w:w="110" w:type="dxa"/>
            </w:tcMar>
          </w:tcPr>
          <w:p>
            <w:pPr>
              <w:spacing w:after="0" w:line="259" w:lineRule="auto"/>
            </w:pPr>
            <w:r>
              <w:rPr>
                <w:color w:val="000000"/>
                <w:sz w:val="19"/>
              </w:rPr>
              <w:t>Unauthorized limited access or serious corruption without active spread</w:t>
            </w:r>
          </w:p>
        </w:tc>
        <w:tc>
          <w:tcPr>
            <w:tcW w:type="dxa" w:w="3231"/>
            <w:vAlign w:val="center"/>
            <w:shd w:fill="EFF3F7"/>
            <w:tcMar>
              <w:top w:w="95" w:type="dxa"/>
              <w:bottom w:w="95" w:type="dxa"/>
              <w:left w:w="110" w:type="dxa"/>
              <w:right w:w="110" w:type="dxa"/>
            </w:tcMar>
          </w:tcPr>
          <w:p>
            <w:pPr>
              <w:spacing w:after="0" w:line="259" w:lineRule="auto"/>
            </w:pPr>
            <w:r>
              <w:rPr>
                <w:color w:val="000000"/>
                <w:sz w:val="19"/>
              </w:rPr>
              <w:t>Immediate triage, preserve evidence, restrict affected services and assess subjects</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Moderate</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Suspected defect with no confirmed disclosure or loss</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Investigate promptly, record rationale and reassess if impact changes</w:t>
            </w:r>
          </w:p>
        </w:tc>
      </w:tr>
      <w:tr>
        <w:trPr>
          <w:cantSplit/>
        </w:trPr>
        <w:tc>
          <w:tcPr>
            <w:tcW w:type="dxa" w:w="2041"/>
            <w:vAlign w:val="center"/>
            <w:shd w:fill="EFF3F7"/>
            <w:tcMar>
              <w:top w:w="95" w:type="dxa"/>
              <w:bottom w:w="95" w:type="dxa"/>
              <w:left w:w="110" w:type="dxa"/>
              <w:right w:w="110" w:type="dxa"/>
            </w:tcMar>
          </w:tcPr>
          <w:p>
            <w:pPr>
              <w:spacing w:after="0" w:line="259" w:lineRule="auto"/>
            </w:pPr>
            <w:r>
              <w:rPr>
                <w:color w:val="000000"/>
                <w:sz w:val="19"/>
              </w:rPr>
              <w:t>Low</w:t>
            </w:r>
          </w:p>
        </w:tc>
        <w:tc>
          <w:tcPr>
            <w:tcW w:type="dxa" w:w="4365"/>
            <w:vAlign w:val="center"/>
            <w:shd w:fill="EFF3F7"/>
            <w:tcMar>
              <w:top w:w="95" w:type="dxa"/>
              <w:bottom w:w="95" w:type="dxa"/>
              <w:left w:w="110" w:type="dxa"/>
              <w:right w:w="110" w:type="dxa"/>
            </w:tcMar>
          </w:tcPr>
          <w:p>
            <w:pPr>
              <w:spacing w:after="0" w:line="259" w:lineRule="auto"/>
            </w:pPr>
            <w:r>
              <w:rPr>
                <w:color w:val="000000"/>
                <w:sz w:val="19"/>
              </w:rPr>
              <w:t>Operational issue with verified absence of personal-data/security impact</w:t>
            </w:r>
          </w:p>
        </w:tc>
        <w:tc>
          <w:tcPr>
            <w:tcW w:type="dxa" w:w="3231"/>
            <w:vAlign w:val="center"/>
            <w:shd w:fill="EFF3F7"/>
            <w:tcMar>
              <w:top w:w="95" w:type="dxa"/>
              <w:bottom w:w="95" w:type="dxa"/>
              <w:left w:w="110" w:type="dxa"/>
              <w:right w:w="110" w:type="dxa"/>
            </w:tcMar>
          </w:tcPr>
          <w:p>
            <w:pPr>
              <w:spacing w:after="0" w:line="259" w:lineRule="auto"/>
            </w:pPr>
            <w:r>
              <w:rPr>
                <w:color w:val="000000"/>
                <w:sz w:val="19"/>
              </w:rPr>
              <w:t>Normal support handling, escalation if new evidence emerges</w:t>
            </w:r>
          </w:p>
        </w:tc>
      </w:tr>
    </w:tbl>
    <w:p>
      <w:pPr>
        <w:spacing w:after="60"/>
      </w:pPr>
    </w:p>
    <w:p>
      <w:r>
        <w:t>The lead may disable affected discovery, invitations, imports, raw-media access or a compromised service when necessary. Document which functions were paused and how existing user rights remain available. Do not publish an unverified claim that no data was affected.</w:t>
      </w:r>
    </w:p>
    <w:p>
      <w:pPr>
        <w:pStyle w:val="Heading1"/>
      </w:pPr>
      <w:r>
        <w:t>Incident workflow</w:t>
      </w:r>
    </w:p>
    <w:p>
      <w:pPr>
        <w:pStyle w:val="ListNumber"/>
      </w:pPr>
      <w:r>
        <w:t>Register incident ID, awareness time, reporter, affected systems and initial facts. Appoint lead, privacy/legal reviewer and communications owner.</w:t>
      </w:r>
    </w:p>
    <w:p>
      <w:pPr>
        <w:pStyle w:val="ListNumber"/>
      </w:pPr>
      <w:r>
        <w:t>Contain exposed paths, revoke compromised access and protect affected users. Preserve evidence hashes, timestamps and protected references without unnecessary copies.</w:t>
      </w:r>
    </w:p>
    <w:p>
      <w:pPr>
        <w:pStyle w:val="ListNumber"/>
      </w:pPr>
      <w:r>
        <w:t>Determine categories/subjects, likely exposure window, unauthorized recipients, child/non-user involvement, loss/corruption and provider responsibility. Record uncertainty explicitly.</w:t>
      </w:r>
    </w:p>
    <w:p>
      <w:pPr>
        <w:pStyle w:val="ListNumber"/>
      </w:pPr>
      <w:r>
        <w:t>Make and execute the legally reviewed notification decision immediately as applicable. Track authority and subject notices independently and in the appropriate languages.</w:t>
      </w:r>
    </w:p>
    <w:p>
      <w:pPr>
        <w:pStyle w:val="ListNumber"/>
      </w:pPr>
      <w:r>
        <w:t>Eradicate the cause, rotate credentials, repair access/storage, test the fix and review whether rollback or restoration could recreate unlawful disclosure.</w:t>
      </w:r>
    </w:p>
    <w:p>
      <w:pPr>
        <w:pStyle w:val="ListNumber"/>
      </w:pPr>
      <w:r>
        <w:t>Restore cautiously, verify with independent checks and communicate actual service state. Complete a lessons review, track owners/deadlines and update controls and risk assessment.</w:t>
      </w:r>
    </w:p>
    <w:p>
      <w:r>
        <w:t>An emergency security fix can precede a normal product approval when necessary, with recorded authority and follow-up review. It must not introduce a new personal-data purpose without assessment.</w:t>
      </w:r>
    </w:p>
    <w:p>
      <w:pPr>
        <w:pStyle w:val="Heading1"/>
      </w:pPr>
      <w:r>
        <w:t>Notification templates</w:t>
      </w:r>
    </w:p>
    <w:p>
      <w:pPr>
        <w:pStyle w:val="Heading2"/>
      </w:pPr>
      <w:r>
        <w:t>Authority notification record</w:t>
      </w:r>
    </w:p>
    <w:p>
      <w:r>
        <w:t>To [verified competent authority], from [lawful controller/representative]. Incident [ID], awareness [timestamp/time zone], initial notification [timestamp]. Description [facts and uncertainties]. Categories and approximate people/records [verified estimate]. Consequences [assessment]. Containment/remediation [actions]. Relevant provider/transfer [details]. Contact [privacy lead]. Further information expected [event/date]. Submission method/reference [ ]. Legal reviewer [ ]. Supplementary notices [ ]. This record must be adapted to current official forms and requirements.</w:t>
      </w:r>
    </w:p>
    <w:p>
      <w:pPr>
        <w:pStyle w:val="Heading2"/>
      </w:pPr>
      <w:r>
        <w:t>Affected person notice</w:t>
      </w:r>
    </w:p>
    <w:p>
      <w:r>
        <w:t>We identified [safe description] affecting [information categories] during [known period]. We took [actual containment]. The possible effects are [plain explanation]. You can protect yourself by [relevant steps] and contact [verified contact] with reference [ID]. What remains uncertain [ ]. We will update you through [route]. The notice must not reveal another relative's sensitive facts or shift responsibility to the user without basis.</w:t>
      </w:r>
    </w:p>
    <w:p>
      <w:pPr>
        <w:pStyle w:val="Heading1"/>
      </w:pPr>
      <w:r>
        <w:t>Backup and service recovery</w:t>
      </w:r>
    </w:p>
    <w:p>
      <w:r>
        <w:t>Use off-device protected database and media backups with approved rotation and locations. JSON tree exports are not full media/service backups. Document backup coverage, keys, restoration tools, report/account records and provider dependencies. Verify successful jobs without logging their contents and alert on failed or overdue backups.</w:t>
      </w:r>
    </w:p>
    <w:p>
      <w:r>
        <w:t>Proposed recovery objectives for board approval: no more than 24 hours of unrecoverable authorized data changes and restoration within 24 hours after a declared major outage. These are targets, not achieved service promises. Change them if operational cost or evidence requires; publish only commitments proven sustainable.</w:t>
      </w:r>
    </w:p>
    <w:p>
      <w:r>
        <w:t>Quarterly during operation and before launch, rehearse restoration in a clean isolated environment. Restore matching database/media versions and migrations, apply current deletion/restriction records, verify normalized ancestor indexes, credentials, reports, permissions and media controls, then approve reopening. Ensure the restored system cannot send old recovery mail or reuse expired invitation secrets. Document actual recovery time and losses against the objectives.</w:t>
      </w:r>
    </w:p>
    <w:p>
      <w:pPr>
        <w:pStyle w:val="Heading1"/>
      </w:pPr>
      <w:r>
        <w:t>Release rollback and device controls</w:t>
      </w:r>
    </w:p>
    <w:p>
      <w:r>
        <w:t>Keep signed release artifacts and migration compatibility records. A rollback must consider schema changes, revoked access, notices and permissions, and idempotent request receipts. Restoring an older app must not grant historical public-tree access or remove a completed deletion. Stage migration/rollback rehearsals on synthetic data before touching real production.</w:t>
      </w:r>
    </w:p>
    <w:p>
      <w:r>
        <w:t>Test physical budget/small/mainstream Android devices, large text, TalkBack, denied/revoked photo permissions, background death, weak networks and upgrade from the previous release. Company laptops/phones need screen locks, supported software, protected storage and controlled file transfer. Avoid personal cloud synchronization of family datasets and signing secrets.</w:t>
      </w:r>
    </w:p>
    <w:p>
      <w:pPr>
        <w:pStyle w:val="Heading1"/>
      </w:pPr>
      <w:r>
        <w:t>Security audit and continuing evidence</w:t>
      </w:r>
    </w:p>
    <w:p>
      <w:r>
        <w:t xml:space="preserve">Counsel and the security lead must confirm the applicability, approved auditor route, cadence and reporting obligations under Cameroon's cybersecurity framework. ANTIC publishes guidance on security audits; normal developer testing does not replace a legally required audit. </w:t>
      </w:r>
      <w:hyperlink r:id="rId10">
        <w:r>
          <w:rPr>
            <w:color w:val="174778"/>
          </w:rPr>
          <w:t>ANTIC security audit guidance</w:t>
        </w:r>
      </w:hyperlink>
      <w:r/>
    </w:p>
    <w:p>
      <w:r>
        <w:t>Maintain evidence of access reviews, vendor controls, key custody, dependency checks, backup jobs, clean restores, incident exercises, fixes and legally required reports. The annual security status report is prepared using the form in document 07 and submitted through the verified route when applicable.</w:t>
      </w:r>
    </w:p>
    <w:p>
      <w:pPr>
        <w:pStyle w:val="Heading1"/>
      </w:pPr>
      <w:r>
        <w:t>Approval and contact card</w:t>
      </w:r>
    </w:p>
    <w:p>
      <w:r>
        <w:t>Incident lead [name/secure contact/deputy]. Privacy lead [ ]. Counsel [ ]. Manager [ ]. Provider emergency contacts [verified]. Competent authority contacts and channel [counsel verified]. Policy owner [ ]. Budget [ ]. Exercise evidence [ ]. Legal approval [ ]. Board decision/effective date [ ]. Do not place account passwords, signing keys or database credentials on this card.</w:t>
      </w:r>
    </w:p>
    <w:sectPr w:rsidR="00FC693F" w:rsidRPr="0006063C" w:rsidSect="00034616">
      <w:footerReference w:type="default" r:id="rId9"/>
      <w:pgSz w:w="11906" w:h="16838"/>
      <w:pgMar w:top="1049" w:right="1134" w:bottom="1049"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05  |  KKEVO Tech  |  Board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ntic.cm/index.php/fr/component/k2/item/315-security-audi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Kkevo Family security incident and recovery procedures</dc:title>
  <dc:subject>Kkevo Family company formation and data governance</dc:subject>
  <dc:creator>KKEVO Tech</dc:creator>
  <cp:keywords/>
  <dc:description>generated by python-docx</dc:description>
  <cp:lastModifiedBy/>
  <cp:revision>1</cp:revision>
  <dcterms:created xsi:type="dcterms:W3CDTF">2013-12-23T23:15:00Z</dcterms:created>
  <dcterms:modified xsi:type="dcterms:W3CDTF">2013-12-23T23:15:00Z</dcterms:modified>
  <cp:category/>
  <cp:version>0.1</cp:version>
</cp:coreProperties>
</file>