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Tech supplier personnel and asset agreements</w:t>
      </w:r>
    </w:p>
    <w:p>
      <w:r>
        <w:t>Document KKT CONTRACT 001 | Version 0.1 | Confidential | Instruments for negotiation and legal review</w:t>
      </w:r>
    </w:p>
    <w:p>
      <w:r>
        <w:t>These instruments support control of Kkevo Family's providers, staff access and software assets. Execute each appropriate agreement with completed parties, scope and schedules after counsel review. Before incorporation, identify the founder who actually contracts; after registration, use a legally valid assumption, assignment or novation. Writing KKEVO Tech on a signature line does not create the company.</w:t>
      </w:r>
    </w:p>
    <w:p>
      <w:pPr>
        <w:pStyle w:val="Heading1"/>
      </w:pPr>
      <w:r>
        <w:t>Supplier due diligence and approval form</w:t>
      </w:r>
    </w:p>
    <w:p>
      <w:r>
        <w:t>Supplier legal entity [ ]; service [ ]; contract contact [ ]; security/privacy contacts [ ]; controller/processor/independent role per activity [ ]; storage countries [ ]; backups [ ]; remote support locations [ ]; subprocessors [ ]; data categories [ ]; purpose [ ]; retention/deletion [ ]; export and exit capability [ ]; encryption/access evidence [ ]; incident capability [ ]; business continuity [ ]; reuse/training/advertising terms [ ]; transfer permissions [ ]; budget [ ]; conflicts [ ].</w:t>
      </w:r>
    </w:p>
    <w:p>
      <w:r>
        <w:t>Review original contracts and technical configuration, not only sales claims. Map mail, database, object storage, monitoring and support separately. Identify vendors acting independently for their own billing/security purposes. Evidence [ ]; unresolved issues [ ]; privacy approval [ ]; security approval [ ]; legal approval [ ]; signatory authority [ ]; renewal/exit date [ ]. A vendor without an approved location and deletion route must not receive real family records.</w:t>
      </w:r>
    </w:p>
    <w:p>
      <w:pPr>
        <w:pStyle w:val="Heading1"/>
      </w:pPr>
      <w:r>
        <w:t>Data processing agreement</w:t>
      </w:r>
    </w:p>
    <w:p>
      <w:pPr>
        <w:pStyle w:val="Heading2"/>
      </w:pPr>
      <w:r>
        <w:t>Parties and service</w:t>
      </w:r>
    </w:p>
    <w:p>
      <w:r>
        <w:t>This agreement is between [full incorporated controller, address, registration and authorized signatory] and [processor legal entity/address/signatory], effective [date], for [service]. Where the provider has independent processing purposes, list them separately and apply the appropriate notice/contract route. The processor acts on documented instructions for the activities in Schedule A. The commercial service contract is [reference].</w:t>
      </w:r>
    </w:p>
    <w:p>
      <w:pPr>
        <w:pStyle w:val="Heading2"/>
      </w:pPr>
      <w:r>
        <w:t>Instructions and purpose limits</w:t>
      </w:r>
    </w:p>
    <w:p>
      <w:r>
        <w:t>The processor processes only the agreed data for the authorized service and duration. It must not sell, advertise using, train models on, mine relationships from or repurpose family records. It alerts the controller if an instruction appears unlawful and pauses the affected action while clarification is obtained, without using that pause to preserve unapproved disclosure. Statutory obligations of either party remain intact.</w:t>
      </w:r>
    </w:p>
    <w:p>
      <w:pPr>
        <w:pStyle w:val="Heading2"/>
      </w:pPr>
      <w:r>
        <w:t>Personnel and security</w:t>
      </w:r>
    </w:p>
    <w:p>
      <w:r>
        <w:t>The processor limits access to trained personnel bound by confidentiality and necessity, uses the safeguards in Schedule B, maintains individual access records and removes access when no longer required. It protects credentials, backups and media, prevents unintended public access, supports data accuracy and availability, and gives evidence sufficient for controller review. Certifications are described accurately with scope/expiry and do not replace service-specific checks.</w:t>
      </w:r>
    </w:p>
    <w:p>
      <w:pPr>
        <w:pStyle w:val="Heading2"/>
      </w:pPr>
      <w:r>
        <w:t>Locations subprocessors and transfers</w:t>
      </w:r>
    </w:p>
    <w:p>
      <w:r>
        <w:t>Only locations in Schedule C are authorized. The processor must not add a storage, backup or remote-access country or subprocessor without the agreed prior review/authorization process and required legal permissions. It supplies subprocessor identities, functions and safeguards. The controller's approval of a contract is not a substitute for a required authority permission. A subprocessor receives equivalent obligations, and the processor remains accountable as required by law and contract.</w:t>
      </w:r>
    </w:p>
    <w:p>
      <w:pPr>
        <w:pStyle w:val="Heading2"/>
      </w:pPr>
      <w:r>
        <w:t>Breaches and urgent assistance</w:t>
      </w:r>
    </w:p>
    <w:p>
      <w:r>
        <w:t>The processor informs [controller emergency contact] immediately upon awareness of a relevant personal-data breach, provides available facts and continuing updates, preserves appropriate evidence and takes prompt containment actions. It assists authority/data-subject notification and must not await a completed investigation before informing the controller. The controller and processor each fulfil their own legally applicable duties; the contract does not authorize either to withhold a required notification.</w:t>
      </w:r>
    </w:p>
    <w:p>
      <w:pPr>
        <w:pStyle w:val="Heading2"/>
      </w:pPr>
      <w:r>
        <w:t>Rights requests and deletion</w:t>
      </w:r>
    </w:p>
    <w:p>
      <w:r>
        <w:t>The processor forwards relevant requests immediately, uses only proportionate identity checks under agreed instructions, and assists access, correction, restriction, erasure and portability. It implements scoped controller instructions without unnecessary delay and supplies verifiable outcome evidence. It must not keep a family copy merely because a service account closes. Shared records and lawful holds are governed by documented category-specific instructions.</w:t>
      </w:r>
    </w:p>
    <w:p>
      <w:pPr>
        <w:pStyle w:val="Heading2"/>
      </w:pPr>
      <w:r>
        <w:t>Evidence audits and regulatory cooperation</w:t>
      </w:r>
    </w:p>
    <w:p>
      <w:r>
        <w:t>The processor maintains appropriate service/security records and supplies evidence for risk assessments, lawful authorization, audit and regulator requests. Audit arrangements [notice, frequency, independent reports, access and costs] must not prevent urgent breach review or competent authority access. Logs and audit outputs avoid unnecessary personal content. Findings have owners, severity and remediation dates.</w:t>
      </w:r>
    </w:p>
    <w:p>
      <w:pPr>
        <w:pStyle w:val="Heading2"/>
      </w:pPr>
      <w:r>
        <w:t>Return deletion and exit</w:t>
      </w:r>
    </w:p>
    <w:p>
      <w:r>
        <w:t>At [termination or instruction], the processor securely returns approved data in [format] and erases the agreed active copies, credentials and caches. It identifies any legally necessary retention with scope, reason and expiry; isolates retained information; and reports backup treatment. It provides a signed completion record and prevents restoration from reactivating erased records. Exit assistance [scope/cost] and migration validation [method] are completed before ending essential service access.</w:t>
      </w:r>
    </w:p>
    <w:p>
      <w:pPr>
        <w:pStyle w:val="Heading2"/>
      </w:pPr>
      <w:r>
        <w:t>Legal demands and liability</w:t>
      </w:r>
    </w:p>
    <w:p>
      <w:r>
        <w:t>The processor reviews legal demands, informs the controller when lawful and limits disclosure to a valid necessary scope. Liability, allocation of costs, insurance, dispute route and governing law are [counsel-reviewed clauses consistent with mandatory responsibilities]. No blanket waiver removes statutory duties or personal-data rights. Conflicting commercial terms are reconciled before signature.</w:t>
      </w:r>
    </w:p>
    <w:p>
      <w:pPr>
        <w:pStyle w:val="Heading2"/>
      </w:pPr>
      <w:r>
        <w:t>Schedules and signatures</w:t>
      </w:r>
    </w:p>
    <w:p>
      <w:r>
        <w:t>Schedule A: operations [processing register IDs], subjects [users/non-users/minors/deceased as lawfully permitted], exact fields [ ], purposes [ ], duration [ ], deletion instructions [ ], rights contacts [ ].</w:t>
      </w:r>
    </w:p>
    <w:p>
      <w:r>
        <w:t>Schedule B: encryption/key custody [ ], access/MFA [ ], logging [ ], media isolation [ ], vulnerability management [ ], backup/restore [ ], incident contacts [ ], staff checks/training [ ], evidence references [ ].</w:t>
      </w:r>
    </w:p>
    <w:p>
      <w:r>
        <w:t>Schedule C: provider and subprocessor entities [ ], functions [ ], country for active storage/backup/remote access [ ], legal permission or authorization reference [ ], change notification and approval [ ].</w:t>
      </w:r>
    </w:p>
    <w:p>
      <w:r>
        <w:t>Controller signature [name/title/date]. Processor signature [name/title/date]. Legal review [ ]. All schedules completed [ ]. No real-data onboarding until permissions and configuration are verified.</w:t>
      </w:r>
    </w:p>
    <w:p>
      <w:pPr>
        <w:pStyle w:val="Heading1"/>
      </w:pPr>
      <w:r>
        <w:t>Provider exit and deletion confirmation</w:t>
      </w:r>
    </w:p>
    <w:p>
      <w:r>
        <w:t>Provider [ ]. Service/contract [ ]. Instruction received [ ]. Categories and systems [ ]. Active deletion/return completed [date/method]. Subprocessor confirmations [ ]. Backup handling and final expiry [ ]. Required retained data/reason/access limit/review [ ]. Prevention of reintroduction [ ]. Exceptions/outstanding work [ ]. Authorized provider signature [ ]. Controller verification [ ]. Do not accept an unqualified certificate when backups or copies remain.</w:t>
      </w:r>
    </w:p>
    <w:p>
      <w:pPr>
        <w:pStyle w:val="Heading1"/>
      </w:pPr>
      <w:r>
        <w:t>Personnel confidentiality and acceptable access agreement</w:t>
      </w:r>
    </w:p>
    <w:p>
      <w:r>
        <w:t>Parties: [company or identified founder before formation] and [employee/contractor/adviser]. Role [ ]; services/employment contract [reference]; effective date [ ]. The person receives only necessary access to code, business records, credentials and personal data. They use approved devices/accounts and follow documented processing instructions, security policy and lawful reporting requirements.</w:t>
      </w:r>
    </w:p>
    <w:p>
      <w:r>
        <w:t>Confidential information includes family content, reports, account details, private source code, signing/secrets and internal financial/legal records. The person must not browse relatives' records out of curiosity, share family exports, move copies to personal storage, use information for marketing/research/training, or disclose incident material outside the approved response. They report suspected misuse immediately and cooperate with requests and investigations.</w:t>
      </w:r>
    </w:p>
    <w:p>
      <w:r>
        <w:t>Access is individual, limited, reviewed and revoked on departure or scope change. Return company assets and erase unauthorized copies, retaining only what law requires through the agreed confidential route. Continuing confidentiality covers protected information for as long as legally justified; it does not prevent lawful whistleblowing, reporting to competent authorities or exercising mandatory rights. Employment terms and enforceability must be adapted to local law.</w:t>
      </w:r>
    </w:p>
    <w:p>
      <w:r>
        <w:t>Training completed [modules/date]; granted access [systems/expiry]; supervisor [ ]; emergency contact [ ]; device rules acknowledged [ ]; permitted independent records [ ]. Person signature [ ]. Company signatory [ ]. Offboarding completion [access revocation, assets, copy disposal, outstanding obligations].</w:t>
      </w:r>
    </w:p>
    <w:p>
      <w:pPr>
        <w:pStyle w:val="Heading1"/>
      </w:pPr>
      <w:r>
        <w:t>Founder and contributor intellectual property assignment</w:t>
      </w:r>
    </w:p>
    <w:p>
      <w:r>
        <w:t>Assignor [legal identity] and assignee [registered company] agree to transfer the specified rights in Schedule IP on [date], for consideration [lawfully agreed amount/arrangement]. Before the company exists, this is a proposed instrument only; counsel determines the proper formation contribution or later assignment route. Identify all co-authors and prior obligations.</w:t>
      </w:r>
    </w:p>
    <w:p>
      <w:r>
        <w:t>Schedule IP lists each repository/commit range, software module, design, documentation, brand asset, domain or account, creation dates, author, existing owner, third-party material, license, territory, transferable rights, duration and exclusions. The assignor warrants only the rights they genuinely control and discloses restrictions and co-ownership. The transfer covers the specifically identified transferable economic rights necessary to reproduce, adapt, distribute and operate the assets, within the legally valid scope settled by counsel. Moral rights and other non-transferable rights are respected.</w:t>
      </w:r>
    </w:p>
    <w:p>
      <w:r>
        <w:t>Third-party and open-source components remain under their licenses. Compile license notices and obligations, including distribution/source requirements when applicable. Do not assume a purchased font, stock photo, generated graphic or cultural symbol is unrestricted or exclusive. Company and Kkevo Family names/logos require their own clearance and protection assessment.</w:t>
      </w:r>
    </w:p>
    <w:p>
      <w:r>
        <w:t>This assignment does not transfer ownership of users' personal data or contributors' family photographs. Their rights follow permissions and terms specific to those records. Account and domain handover uses secure custody changes, individual access and recovery checks; never write passwords in this instrument. Acceptance evidence [ ]; assignor signature [ ]; company signatory [ ]; counsel review [ ]; consideration evidence [ ].</w:t>
      </w:r>
    </w:p>
    <w:p>
      <w:pPr>
        <w:pStyle w:val="Heading1"/>
      </w:pPr>
      <w:r>
        <w:t>Alternative asset license instrument</w:t>
      </w:r>
    </w:p>
    <w:p>
      <w:r>
        <w:t>If assignment is not appropriate, licensor [ ] grants the registered company [exclusive/non-exclusive] rights to specified assets [schedule], for [territory/duration/purpose], with [fees], permitted modifications/distribution [ ], support [ ], source access [ ], sublicensing [ ], termination [ ], continuity/exit rights [ ] and third-party exclusions [ ]. Counsel must complete and validate the terms; do not treat a vague permission to use a repository as ownership.</w:t>
      </w:r>
    </w:p>
    <w:p>
      <w:pPr>
        <w:pStyle w:val="Heading1"/>
      </w:pPr>
      <w:r>
        <w:t>Related controller and family administrator review</w:t>
      </w:r>
    </w:p>
    <w:p>
      <w:r>
        <w:t>Counsel must determine whether any external organization, partner or administrator jointly determines processing purposes/means. A tree role does not automatically establish a joint-controller relationship. If joint control exists, prepare a separate arrangement covering responsibilities, notices, rights contact, incident handling, permission evidence and transfers, with an appropriate public summary. Do not force a household relative to sign a processor contract without analysis.</w:t>
      </w:r>
    </w:p>
    <w:p>
      <w:pPr>
        <w:pStyle w:val="Heading1"/>
      </w:pPr>
      <w:r>
        <w:t>Board procurement and signature record</w:t>
      </w:r>
    </w:p>
    <w:p>
      <w:r>
        <w:t>Contract ID [ ]; exact version [ ]; parties/capacity [ ]; schedules completed [ ]; legal route [ ]; data/transfer approval [ ]; security review [ ]; budget/conflict review [ ]; authorized signatory [ ]; execution date [ ]; effective/renewal/termination [ ]; custody location [ ]; outstanding conditions [ ]. Board/manager decision [ ]. A signed contract is not evidence that promised controls work; verify before activation.</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06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Tech supplier personnel and asset agreements</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