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KKEVO Tech board registers and Kkevo Family release acceptance</w:t>
      </w:r>
    </w:p>
    <w:p>
      <w:r>
        <w:t>Document KKT BOARD 001 | Version 0.1 | Confidential | Reusable decision and evidence records</w:t>
      </w:r>
    </w:p>
    <w:p>
      <w:r>
        <w:t>The secretary maintains these forms as controlled records. Completed forms support registration, operations and release decisions; an empty checklist does not prove compliance. Use case references and aggregate measures in board circulation. Detailed family records, identity proofs, credentials and forensic evidence belong in separate restricted storage.</w:t>
      </w:r>
    </w:p>
    <w:p>
      <w:pPr>
        <w:pStyle w:val="Heading1"/>
      </w:pPr>
      <w:r>
        <w:t>Document approval and change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721"/>
        <w:gridCol w:w="2948"/>
        <w:gridCol w:w="2381"/>
      </w:tblGrid>
      <w:tr>
        <w:trPr>
          <w:cantSplit/>
          <w:tblHeader/>
        </w:trPr>
        <w:tc>
          <w:tcPr>
            <w:tcW w:type="dxa" w:w="1587"/>
            <w:vAlign w:val="center"/>
            <w:shd w:fill="163957"/>
            <w:tcMar>
              <w:top w:w="95" w:type="dxa"/>
              <w:bottom w:w="95" w:type="dxa"/>
              <w:left w:w="110" w:type="dxa"/>
              <w:right w:w="110" w:type="dxa"/>
            </w:tcMar>
          </w:tcPr>
          <w:p>
            <w:pPr>
              <w:spacing w:after="0" w:line="259" w:lineRule="auto"/>
            </w:pPr>
            <w:r>
              <w:rPr>
                <w:b/>
                <w:color w:val="FFFFFF"/>
                <w:sz w:val="19"/>
              </w:rPr>
              <w:t>Document</w:t>
            </w:r>
          </w:p>
        </w:tc>
        <w:tc>
          <w:tcPr>
            <w:tcW w:type="dxa" w:w="2721"/>
            <w:vAlign w:val="center"/>
            <w:shd w:fill="163957"/>
            <w:tcMar>
              <w:top w:w="95" w:type="dxa"/>
              <w:bottom w:w="95" w:type="dxa"/>
              <w:left w:w="110" w:type="dxa"/>
              <w:right w:w="110" w:type="dxa"/>
            </w:tcMar>
          </w:tcPr>
          <w:p>
            <w:pPr>
              <w:spacing w:after="0" w:line="259" w:lineRule="auto"/>
            </w:pPr>
            <w:r>
              <w:rPr>
                <w:b/>
                <w:color w:val="FFFFFF"/>
                <w:sz w:val="19"/>
              </w:rPr>
              <w:t>Owner and review</w:t>
            </w:r>
          </w:p>
        </w:tc>
        <w:tc>
          <w:tcPr>
            <w:tcW w:type="dxa" w:w="2948"/>
            <w:vAlign w:val="center"/>
            <w:shd w:fill="163957"/>
            <w:tcMar>
              <w:top w:w="95" w:type="dxa"/>
              <w:bottom w:w="95" w:type="dxa"/>
              <w:left w:w="110" w:type="dxa"/>
              <w:right w:w="110" w:type="dxa"/>
            </w:tcMar>
          </w:tcPr>
          <w:p>
            <w:pPr>
              <w:spacing w:after="0" w:line="259" w:lineRule="auto"/>
            </w:pPr>
            <w:r>
              <w:rPr>
                <w:b/>
                <w:color w:val="FFFFFF"/>
                <w:sz w:val="19"/>
              </w:rPr>
              <w:t>Approval and effective date</w:t>
            </w:r>
          </w:p>
        </w:tc>
        <w:tc>
          <w:tcPr>
            <w:tcW w:type="dxa" w:w="2381"/>
            <w:vAlign w:val="center"/>
            <w:shd w:fill="163957"/>
            <w:tcMar>
              <w:top w:w="95" w:type="dxa"/>
              <w:bottom w:w="95" w:type="dxa"/>
              <w:left w:w="110" w:type="dxa"/>
              <w:right w:w="110" w:type="dxa"/>
            </w:tcMar>
          </w:tcPr>
          <w:p>
            <w:pPr>
              <w:spacing w:after="0" w:line="259" w:lineRule="auto"/>
            </w:pPr>
            <w:r>
              <w:rPr>
                <w:b/>
                <w:color w:val="FFFFFF"/>
                <w:sz w:val="19"/>
              </w:rPr>
              <w:t>Evidence or outstanding condition</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00 Formation and board plan</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Founders and counsel</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[Decision/date]</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 ]</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01 Registration instruments</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Founders and counsel</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[Signed version/date]</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 ]</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02 Data policy and assessment</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Privacy lead and counsel</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[Decision/date]</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 ]</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03 Notices and terms</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Privacy/legal/language reviewers</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[Publication version/date]</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 ]</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04 Rights and content procedures</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Privacy/support lead</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[Decision/date]</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 ]</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05 Security and recovery</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Security/privacy/legal leads</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[Decision/date]</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 ]</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06 Contracts and assets</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Manager/legal/procurement</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[Executed instruments]</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 ]</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07 Evidence and release records</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Secretary/manager</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[Decision/date]</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 ]</w:t>
            </w:r>
          </w:p>
        </w:tc>
      </w:tr>
    </w:tbl>
    <w:p>
      <w:pPr>
        <w:spacing w:after="60"/>
      </w:pPr>
    </w:p>
    <w:p>
      <w:r>
        <w:t>For every change record trigger, affected purposes/data/territories, legal review, operational impact, notice/consent changes, tested implementation, approving authority, version/effective date and superseded location. Retain adopted versions and acceptance evidence under the approved schedule.</w:t>
      </w:r>
    </w:p>
    <w:p>
      <w:pPr>
        <w:pStyle w:val="Heading1"/>
      </w:pPr>
      <w:r>
        <w:t>Company legal and ownership register</w:t>
      </w:r>
    </w:p>
    <w:p>
      <w:r>
        <w:t>Legal name/form [ ]; registration extract and verified number [ ]; tax identifier/evidence [ ]; registered office [ ]; founder/beneficial-owner evidence held at [restricted location]; manager/authority [ ]; capital/share register [ ]; fiscal calendar [ ]; accountant [ ]; employer obligations [ ]; bank authority [ ]; name/trademark applications [ ]; annual filings and review tasks [ ].</w:t>
      </w:r>
    </w:p>
    <w:p>
      <w:r>
        <w:t>Product assets: code repositories [ ]; copyright/contributor instruments [ ]; third-party licenses [ ]; logos and name rights [ ]; domains [ ]; company service accounts [ ]; Play organization account [ ]; signing key custody/recovery [ ]; approved pre-incorporation commitments [ ]. Do not place secrets on this register.</w:t>
      </w:r>
    </w:p>
    <w:p>
      <w:pPr>
        <w:pStyle w:val="Heading1"/>
      </w:pPr>
      <w:r>
        <w:t>Processing permission and transfer register</w:t>
      </w:r>
    </w:p>
    <w:p>
      <w:r>
        <w:t>For each operation P01 to P10: exact scope/version [ ]; counsel determination [ ]; applicable official procedure [ ]; required form/channel [ ]; submission date/receipt [ ]; authorization or other lawful outcome [ ]; conditions/expiry [ ]; permission-evidence register [ ]; retention code [ ]; responsible lead [ ]; unresolved restrictions [ ]. Processing not cleared for real data remains excluded from production.</w:t>
      </w:r>
    </w:p>
    <w:p>
      <w:r>
        <w:t>For each recipient/transfer: legal entity [ ]; operation/data [ ]; active storage [country]; backup [country]; remote access [country]; subprocessor [ ]; contractual instrument [ ]; required authority outcome [ ]; actual configuration evidence [ ]; exit/deletion method [ ]; approval date/reviewer [ ]; change/renewal [ ]. Consent or a supplier's marketing certificate alone is not sufficient clearance.</w:t>
      </w:r>
    </w:p>
    <w:p>
      <w:pPr>
        <w:pStyle w:val="Heading1"/>
      </w:pPr>
      <w:r>
        <w:t>Country entry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365"/>
        <w:gridCol w:w="3231"/>
      </w:tblGrid>
      <w:tr>
        <w:trPr>
          <w:cantSplit/>
          <w:tblHeader/>
        </w:trPr>
        <w:tc>
          <w:tcPr>
            <w:tcW w:type="dxa" w:w="2041"/>
            <w:vAlign w:val="center"/>
            <w:shd w:fill="163957"/>
            <w:tcMar>
              <w:top w:w="95" w:type="dxa"/>
              <w:bottom w:w="95" w:type="dxa"/>
              <w:left w:w="110" w:type="dxa"/>
              <w:right w:w="110" w:type="dxa"/>
            </w:tcMar>
          </w:tcPr>
          <w:p>
            <w:pPr>
              <w:spacing w:after="0" w:line="259" w:lineRule="auto"/>
            </w:pPr>
            <w:r>
              <w:rPr>
                <w:b/>
                <w:color w:val="FFFFFF"/>
                <w:sz w:val="19"/>
              </w:rPr>
              <w:t>Territory</w:t>
            </w:r>
          </w:p>
        </w:tc>
        <w:tc>
          <w:tcPr>
            <w:tcW w:type="dxa" w:w="4365"/>
            <w:vAlign w:val="center"/>
            <w:shd w:fill="163957"/>
            <w:tcMar>
              <w:top w:w="95" w:type="dxa"/>
              <w:bottom w:w="95" w:type="dxa"/>
              <w:left w:w="110" w:type="dxa"/>
              <w:right w:w="110" w:type="dxa"/>
            </w:tcMar>
          </w:tcPr>
          <w:p>
            <w:pPr>
              <w:spacing w:after="0" w:line="259" w:lineRule="auto"/>
            </w:pPr>
            <w:r>
              <w:rPr>
                <w:b/>
                <w:color w:val="FFFFFF"/>
                <w:sz w:val="19"/>
              </w:rPr>
              <w:t>Proposed status</w:t>
            </w:r>
          </w:p>
        </w:tc>
        <w:tc>
          <w:tcPr>
            <w:tcW w:type="dxa" w:w="3231"/>
            <w:vAlign w:val="center"/>
            <w:shd w:fill="163957"/>
            <w:tcMar>
              <w:top w:w="95" w:type="dxa"/>
              <w:bottom w:w="95" w:type="dxa"/>
              <w:left w:w="110" w:type="dxa"/>
              <w:right w:w="110" w:type="dxa"/>
            </w:tcMar>
          </w:tcPr>
          <w:p>
            <w:pPr>
              <w:spacing w:after="0" w:line="259" w:lineRule="auto"/>
            </w:pPr>
            <w:r>
              <w:rPr>
                <w:b/>
                <w:color w:val="FFFFFF"/>
                <w:sz w:val="19"/>
              </w:rPr>
              <w:t>Review required before activation</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Cameroon</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First launch recommendation subject to conditions</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Formation, permissions, data model, providers, support and release evidence</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Each selected Central African country</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No launch approval yet</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Named country, local law/counsel, territory scope, transfers, notices, language/support and incidents</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Other countries or diaspora access</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Not assessed by this pack</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Scope of service/targeting, local requirements and overseas access review</w:t>
            </w:r>
          </w:p>
        </w:tc>
      </w:tr>
    </w:tbl>
    <w:p>
      <w:pPr>
        <w:spacing w:after="60"/>
      </w:pPr>
    </w:p>
    <w:p>
      <w:r>
        <w:t>Record country [ ]; accountable local legal review [ ]; controller/representative duties [ ]; registrations/permissions [ ]; child/deceased/sensitive rules [ ]; response/incident requirements [ ]; hosting/access [ ]; notice languages [ ]; operational readiness [ ]; distribution settings [ ]; board decision/conditions [ ]. Common regional business-law arrangements do not automatically harmonize privacy obligations.</w:t>
      </w:r>
    </w:p>
    <w:p>
      <w:pPr>
        <w:pStyle w:val="Heading1"/>
      </w:pPr>
      <w:r>
        <w:t>Risk and action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721"/>
        <w:gridCol w:w="2948"/>
        <w:gridCol w:w="2381"/>
      </w:tblGrid>
      <w:tr>
        <w:trPr>
          <w:cantSplit/>
          <w:tblHeader/>
        </w:trPr>
        <w:tc>
          <w:tcPr>
            <w:tcW w:type="dxa" w:w="1587"/>
            <w:vAlign w:val="center"/>
            <w:shd w:fill="163957"/>
            <w:tcMar>
              <w:top w:w="95" w:type="dxa"/>
              <w:bottom w:w="95" w:type="dxa"/>
              <w:left w:w="110" w:type="dxa"/>
              <w:right w:w="110" w:type="dxa"/>
            </w:tcMar>
          </w:tcPr>
          <w:p>
            <w:pPr>
              <w:spacing w:after="0" w:line="259" w:lineRule="auto"/>
            </w:pPr>
            <w:r>
              <w:rPr>
                <w:b/>
                <w:color w:val="FFFFFF"/>
                <w:sz w:val="19"/>
              </w:rPr>
              <w:t>ID</w:t>
            </w:r>
          </w:p>
        </w:tc>
        <w:tc>
          <w:tcPr>
            <w:tcW w:type="dxa" w:w="2721"/>
            <w:vAlign w:val="center"/>
            <w:shd w:fill="163957"/>
            <w:tcMar>
              <w:top w:w="95" w:type="dxa"/>
              <w:bottom w:w="95" w:type="dxa"/>
              <w:left w:w="110" w:type="dxa"/>
              <w:right w:w="110" w:type="dxa"/>
            </w:tcMar>
          </w:tcPr>
          <w:p>
            <w:pPr>
              <w:spacing w:after="0" w:line="259" w:lineRule="auto"/>
            </w:pPr>
            <w:r>
              <w:rPr>
                <w:b/>
                <w:color w:val="FFFFFF"/>
                <w:sz w:val="19"/>
              </w:rPr>
              <w:t>Risk or condition</w:t>
            </w:r>
          </w:p>
        </w:tc>
        <w:tc>
          <w:tcPr>
            <w:tcW w:type="dxa" w:w="2948"/>
            <w:vAlign w:val="center"/>
            <w:shd w:fill="163957"/>
            <w:tcMar>
              <w:top w:w="95" w:type="dxa"/>
              <w:bottom w:w="95" w:type="dxa"/>
              <w:left w:w="110" w:type="dxa"/>
              <w:right w:w="110" w:type="dxa"/>
            </w:tcMar>
          </w:tcPr>
          <w:p>
            <w:pPr>
              <w:spacing w:after="0" w:line="259" w:lineRule="auto"/>
            </w:pPr>
            <w:r>
              <w:rPr>
                <w:b/>
                <w:color w:val="FFFFFF"/>
                <w:sz w:val="19"/>
              </w:rPr>
              <w:t>Accountable owner</w:t>
            </w:r>
          </w:p>
        </w:tc>
        <w:tc>
          <w:tcPr>
            <w:tcW w:type="dxa" w:w="2381"/>
            <w:vAlign w:val="center"/>
            <w:shd w:fill="163957"/>
            <w:tcMar>
              <w:top w:w="95" w:type="dxa"/>
              <w:bottom w:w="95" w:type="dxa"/>
              <w:left w:w="110" w:type="dxa"/>
              <w:right w:w="110" w:type="dxa"/>
            </w:tcMar>
          </w:tcPr>
          <w:p>
            <w:pPr>
              <w:spacing w:after="0" w:line="259" w:lineRule="auto"/>
            </w:pPr>
            <w:r>
              <w:rPr>
                <w:b/>
                <w:color w:val="FFFFFF"/>
                <w:sz w:val="19"/>
              </w:rPr>
              <w:t>Closure evidence</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A01</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Company not registered</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Formation coordinator</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Authentic registration and manager authority</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A02</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Living/minor/deceased permissions unresolved</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Privacy lead and counsel</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Written lawful model and implemented evidence</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A03</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Matching/interconnection permissions unresolved</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Privacy lead and counsel</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Classification, required permissions and controls</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A04</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Real hosting/mail/support absent</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Operations manager</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External signed-app proof and staffed channels</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A05</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Actual account erasure incomplete</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Engineering/privacy</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Full lifecycle and restore verification</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A06</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Provider/transfer controls absent</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Procurement/privacy</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Executed contracts and approved locations</w:t>
            </w:r>
          </w:p>
        </w:tc>
      </w:tr>
      <w:tr>
        <w:trPr>
          <w:cantSplit/>
        </w:trPr>
        <w:tc>
          <w:tcPr>
            <w:tcW w:type="dxa" w:w="1587"/>
            <w:vAlign w:val="center"/>
            <w:shd w:fill="FFFFFF"/>
            <w:tcMar>
              <w:top w:w="95" w:type="dxa"/>
              <w:bottom w:w="95" w:type="dxa"/>
              <w:left w:w="110" w:type="dxa"/>
              <w:right w:w="110" w:type="dxa"/>
            </w:tcMar>
          </w:tcPr>
          <w:p>
            <w:pPr>
              <w:spacing w:after="0" w:line="259" w:lineRule="auto"/>
            </w:pPr>
            <w:r>
              <w:rPr>
                <w:color w:val="000000"/>
                <w:sz w:val="19"/>
              </w:rPr>
              <w:t>A07</w:t>
            </w:r>
          </w:p>
        </w:tc>
        <w:tc>
          <w:tcPr>
            <w:tcW w:type="dxa" w:w="2721"/>
            <w:vAlign w:val="center"/>
            <w:shd w:fill="FFFFFF"/>
            <w:tcMar>
              <w:top w:w="95" w:type="dxa"/>
              <w:bottom w:w="95" w:type="dxa"/>
              <w:left w:w="110" w:type="dxa"/>
              <w:right w:w="110" w:type="dxa"/>
            </w:tcMar>
          </w:tcPr>
          <w:p>
            <w:pPr>
              <w:spacing w:after="0" w:line="259" w:lineRule="auto"/>
            </w:pPr>
            <w:r>
              <w:rPr>
                <w:color w:val="000000"/>
                <w:sz w:val="19"/>
              </w:rPr>
              <w:t>Signed physical-device pilot unproven</w:t>
            </w:r>
          </w:p>
        </w:tc>
        <w:tc>
          <w:tcPr>
            <w:tcW w:type="dxa" w:w="2948"/>
            <w:vAlign w:val="center"/>
            <w:shd w:fill="FFFFFF"/>
            <w:tcMar>
              <w:top w:w="95" w:type="dxa"/>
              <w:bottom w:w="95" w:type="dxa"/>
              <w:left w:w="110" w:type="dxa"/>
              <w:right w:w="110" w:type="dxa"/>
            </w:tcMar>
          </w:tcPr>
          <w:p>
            <w:pPr>
              <w:spacing w:after="0" w:line="259" w:lineRule="auto"/>
            </w:pPr>
            <w:r>
              <w:rPr>
                <w:color w:val="000000"/>
                <w:sz w:val="19"/>
              </w:rPr>
              <w:t>Release lead</w:t>
            </w:r>
          </w:p>
        </w:tc>
        <w:tc>
          <w:tcPr>
            <w:tcW w:type="dxa" w:w="2381"/>
            <w:vAlign w:val="center"/>
            <w:shd w:fill="FFFFFF"/>
            <w:tcMar>
              <w:top w:w="95" w:type="dxa"/>
              <w:bottom w:w="95" w:type="dxa"/>
              <w:left w:w="110" w:type="dxa"/>
              <w:right w:w="110" w:type="dxa"/>
            </w:tcMar>
          </w:tcPr>
          <w:p>
            <w:pPr>
              <w:spacing w:after="0" w:line="259" w:lineRule="auto"/>
            </w:pPr>
            <w:r>
              <w:rPr>
                <w:color w:val="000000"/>
                <w:sz w:val="19"/>
              </w:rPr>
              <w:t>Acceptance and observed consenting-family results</w:t>
            </w:r>
          </w:p>
        </w:tc>
      </w:tr>
      <w:tr>
        <w:trPr>
          <w:cantSplit/>
        </w:trPr>
        <w:tc>
          <w:tcPr>
            <w:tcW w:type="dxa" w:w="1587"/>
            <w:vAlign w:val="center"/>
            <w:shd w:fill="EFF3F7"/>
            <w:tcMar>
              <w:top w:w="95" w:type="dxa"/>
              <w:bottom w:w="95" w:type="dxa"/>
              <w:left w:w="110" w:type="dxa"/>
              <w:right w:w="110" w:type="dxa"/>
            </w:tcMar>
          </w:tcPr>
          <w:p>
            <w:pPr>
              <w:spacing w:after="0" w:line="259" w:lineRule="auto"/>
            </w:pPr>
            <w:r>
              <w:rPr>
                <w:color w:val="000000"/>
                <w:sz w:val="19"/>
              </w:rPr>
              <w:t>A08</w:t>
            </w:r>
          </w:p>
        </w:tc>
        <w:tc>
          <w:tcPr>
            <w:tcW w:type="dxa" w:w="2721"/>
            <w:vAlign w:val="center"/>
            <w:shd w:fill="EFF3F7"/>
            <w:tcMar>
              <w:top w:w="95" w:type="dxa"/>
              <w:bottom w:w="95" w:type="dxa"/>
              <w:left w:w="110" w:type="dxa"/>
              <w:right w:w="110" w:type="dxa"/>
            </w:tcMar>
          </w:tcPr>
          <w:p>
            <w:pPr>
              <w:spacing w:after="0" w:line="259" w:lineRule="auto"/>
            </w:pPr>
            <w:r>
              <w:rPr>
                <w:color w:val="000000"/>
                <w:sz w:val="19"/>
              </w:rPr>
              <w:t>Off-device recovery not rehearsed</w:t>
            </w:r>
          </w:p>
        </w:tc>
        <w:tc>
          <w:tcPr>
            <w:tcW w:type="dxa" w:w="2948"/>
            <w:vAlign w:val="center"/>
            <w:shd w:fill="EFF3F7"/>
            <w:tcMar>
              <w:top w:w="95" w:type="dxa"/>
              <w:bottom w:w="95" w:type="dxa"/>
              <w:left w:w="110" w:type="dxa"/>
              <w:right w:w="110" w:type="dxa"/>
            </w:tcMar>
          </w:tcPr>
          <w:p>
            <w:pPr>
              <w:spacing w:after="0" w:line="259" w:lineRule="auto"/>
            </w:pPr>
            <w:r>
              <w:rPr>
                <w:color w:val="000000"/>
                <w:sz w:val="19"/>
              </w:rPr>
              <w:t>Security lead</w:t>
            </w:r>
          </w:p>
        </w:tc>
        <w:tc>
          <w:tcPr>
            <w:tcW w:type="dxa" w:w="2381"/>
            <w:vAlign w:val="center"/>
            <w:shd w:fill="EFF3F7"/>
            <w:tcMar>
              <w:top w:w="95" w:type="dxa"/>
              <w:bottom w:w="95" w:type="dxa"/>
              <w:left w:w="110" w:type="dxa"/>
              <w:right w:w="110" w:type="dxa"/>
            </w:tcMar>
          </w:tcPr>
          <w:p>
            <w:pPr>
              <w:spacing w:after="0" w:line="259" w:lineRule="auto"/>
            </w:pPr>
            <w:r>
              <w:rPr>
                <w:color w:val="000000"/>
                <w:sz w:val="19"/>
              </w:rPr>
              <w:t>Clean restore and deletion suppression evidence</w:t>
            </w:r>
          </w:p>
        </w:tc>
      </w:tr>
    </w:tbl>
    <w:p>
      <w:pPr>
        <w:spacing w:after="60"/>
      </w:pPr>
    </w:p>
    <w:p>
      <w:r>
        <w:t>Add initial/residual severity, target event/date, budget, decision reference, dependencies and verification reviewer to each live record. Do not close a legal blocker solely because engineering tests pass. Record risk acceptance only where the activity is lawful and the authorized body understands the remaining operational risk.</w:t>
      </w:r>
    </w:p>
    <w:p>
      <w:pPr>
        <w:pStyle w:val="Heading1"/>
      </w:pPr>
      <w:r>
        <w:t>Access incident and rights registers</w:t>
      </w:r>
    </w:p>
    <w:p>
      <w:r>
        <w:t>Access entry: person/role [ ]; systems/purpose [ ]; approved scope [ ]; manager [ ]; training/agreement [ ]; grant/expiry [ ]; last review [ ]; revocation [ ]; emergency access/review [ ].</w:t>
      </w:r>
    </w:p>
    <w:p>
      <w:r>
        <w:t>Incident entry: ID [ ]; awareness [ ]; severity [ ]; affected categories/counts [ ]; lead [ ]; containment [ ]; counsel decision [ ]; authority and subject notices [references/times]; recovery [ ]; corrective actions [ ]; review/closure [ ]. Avoid names and story text in the board summary.</w:t>
      </w:r>
    </w:p>
    <w:p>
      <w:r>
        <w:t>Rights/content entry: case ID [ ]; received [ ]; type [ ]; urgency [ ]; verified capacity [ ]; owner [ ]; required timing [ ]; result [ ]; provider/backup follow-up [ ]; review/appeal [ ]; closure evidence [ ]. Detailed evidence is stored separately with restricted access.</w:t>
      </w:r>
    </w:p>
    <w:p>
      <w:pPr>
        <w:pStyle w:val="Heading1"/>
      </w:pPr>
      <w:r>
        <w:t>Monthly board report</w:t>
      </w:r>
    </w:p>
    <w:p>
      <w:r>
        <w:t>Period [ ]; company formation progress [ ]; spending versus authorization [ ]; cash and recurring commitments [ ]; major legal/permission issues [ ]; release stage [ ]; service incidents [aggregate]; access reviews [completion]; backups/restores [result]; rights/report cases [received/completed/overdue]; provider changes [ ]; training [ ]; top risks [ ]; decisions requested [ ].</w:t>
      </w:r>
    </w:p>
    <w:p>
      <w:r>
        <w:t>Include unresolved subject-rights timing, child-safety concerns and authorization gaps as explicit exceptions. Report local automated test results separately from production outcomes. Avoid readiness percentages that obscure a blocking requirement.</w:t>
      </w:r>
    </w:p>
    <w:p>
      <w:pPr>
        <w:pStyle w:val="Heading1"/>
      </w:pPr>
      <w:r>
        <w:t>Annual security and data governance report template</w:t>
      </w:r>
    </w:p>
    <w:p>
      <w:r>
        <w:t>Reporting entity [ ]; year [ ]; lawful signatory [ ]; scope [ ]; processing and provider changes [ ]; authority conditions [ ]; control inventory and effectiveness [ ]; staff access/training [ ]; incidents/notifications [aggregate]; rights cases [aggregate]; backup/restore results [ ]; audit findings and actions [ ]; remaining risks [ ]; permissions/retention review [ ]; plan and budget [ ].</w:t>
      </w:r>
    </w:p>
    <w:p>
      <w:r>
        <w:t>Counsel confirms required filing recipient, content, form and timing. Submission reference [ ]; signature [ ]; retained copy [restricted location]. Preparing a board report does not automatically fulfil a statutory submission.</w:t>
      </w:r>
    </w:p>
    <w:p>
      <w:pPr>
        <w:pStyle w:val="Heading1"/>
      </w:pPr>
      <w:r>
        <w:t>Release acceptance conditions</w:t>
      </w:r>
    </w:p>
    <w:p>
      <w:pPr>
        <w:pStyle w:val="Heading2"/>
      </w:pPr>
      <w:r>
        <w:t>Company and legal clearance</w:t>
      </w:r>
    </w:p>
    <w:p>
      <w:r>
        <w:t>The company exists with verified particulars and a lawful signatory. Product assets and accounts are under valid company custody. Counsel has approved the data model, including non-user, child, deceased and matching treatment. Required permissions and vendor/transfer conditions are evidenced. User notices are complete, accurate, consistent in English/French and accessible on real public URLs. Proposed policies have adoption records.</w:t>
      </w:r>
    </w:p>
    <w:p>
      <w:pPr>
        <w:pStyle w:val="Heading2"/>
      </w:pPr>
      <w:r>
        <w:t>Existing workflow completion</w:t>
      </w:r>
    </w:p>
    <w:p>
      <w:r>
        <w:t>Demonstrate account creation/verification/recovery/password changes; private family creation; correct profile/relative/relationship editing with conflict recovery; controlled invitations/suggestions/approvals/revocations; portraits/stories; native imports/exports and uncertain retries; reports and human response; and actual deletion across viewer/editor/owner/sole-owner and non-user cases. Match the API, app and migrations. Do not claim operational completion from a pending deletion request.</w:t>
      </w:r>
    </w:p>
    <w:p>
      <w:r>
        <w:t>The current evidence baseline is 103 PostgreSQL tests, 79 mobile tests and seven native emulator journeys, recorded in PRODUCTION_GAP_CLOSURE_REVIEW.md. These results concern the isolated local audit app. Revalidate changed workflows and obtain evidence for the signed production configuration; do not reuse emulator results as proof of physical-device, email-provider or production deployment behavior.</w:t>
      </w:r>
    </w:p>
    <w:p>
      <w:pPr>
        <w:pStyle w:val="Heading2"/>
      </w:pPr>
      <w:r>
        <w:t>Operations and release delivery</w:t>
      </w:r>
    </w:p>
    <w:p>
      <w:r>
        <w:t>Production HTTPS, database, private media, secrets and actual mail are configured and tested from outside the development PC. Support/privacy contacts are staffed. Incident handling and notification channels are rehearsed. Off-device database/media restoration respects current deletions. Monitoring excludes private payloads. Signed package, store account, privacy/deletion links, audience/content rating and Data Safety disclosures match actual app and SDK behavior. Provide synthetic reviewer access that exposes no real families.</w:t>
      </w:r>
    </w:p>
    <w:p>
      <w:pPr>
        <w:pStyle w:val="Heading2"/>
      </w:pPr>
      <w:r>
        <w:t>Pilot and Android acceptance</w:t>
      </w:r>
    </w:p>
    <w:p>
      <w:r>
        <w:t>Use consenting coordinators and relatives under approved processing permissions; a small pilot is still real processing. Test budget/small/mainstream physical devices, accessibility, revoked permissions, process death, poor connections and upgrade paths. Exercise family scale agreed with the board, such as 100/500/2,000-person datasets using synthetic content before real pilot claims. Record measured limits, blocked journeys, participant feedback and fixes. No app-store or legal approval is implied by pilot participation.</w:t>
      </w:r>
    </w:p>
    <w:p>
      <w:pPr>
        <w:pStyle w:val="Heading1"/>
      </w:pPr>
      <w:r>
        <w:t>Final go or defer record</w:t>
      </w:r>
    </w:p>
    <w:p>
      <w:r>
        <w:t>Release version/build [ ]; API/migration version [ ]; territories [ ]; decision body and authority [ ]; company verification [ ]; legal opinion and permissions [ ]; policy versions [ ]; supplier approvals [ ]; signed/device/pilot evidence [ ]; deletion and restore exercise [ ]; support roster [ ]; budget [ ]; unresolved issues and exclusions [ ].</w:t>
      </w:r>
    </w:p>
    <w:p>
      <w:r>
        <w:t>Decision [Approve staged release / Defer / Approve only synthetic testing]. Conditions [ ]. Rollout scope and checkpoints [ ]. Pause/rollback triggers [ ]. Decision expiry/review [ ]. Signatures: manager [ ]; privacy lead [ ]; security lead [ ]; release lead [ ]; authorized chair/shareholder body [ ]. Counsel acknowledgment [ ].</w:t>
      </w:r>
    </w:p>
    <w:p>
      <w:pPr>
        <w:pStyle w:val="Heading1"/>
      </w:pPr>
      <w:r>
        <w:t>First board meeting agenda and minutes</w:t>
      </w:r>
    </w:p>
    <w:p>
      <w:pPr>
        <w:pStyle w:val="ListNumber"/>
      </w:pPr>
      <w:r>
        <w:t>Confirm founding participants, authority, conflicts and the fact that incorporation has not occurred.</w:t>
      </w:r>
    </w:p>
    <w:p>
      <w:pPr>
        <w:pStyle w:val="ListNumber"/>
      </w:pPr>
      <w:r>
        <w:t>Select legal-form assessment and approve formation budget/representative.</w:t>
      </w:r>
    </w:p>
    <w:p>
      <w:pPr>
        <w:pStyle w:val="ListNumber"/>
      </w:pPr>
      <w:r>
        <w:t>Review the lawful family-data model and outstanding permissions.</w:t>
      </w:r>
    </w:p>
    <w:p>
      <w:pPr>
        <w:pStyle w:val="ListNumber"/>
      </w:pPr>
      <w:r>
        <w:t>Review asset ownership, providers, role appointments and staffing.</w:t>
      </w:r>
    </w:p>
    <w:p>
      <w:pPr>
        <w:pStyle w:val="ListNumber"/>
      </w:pPr>
      <w:r>
        <w:t>Adopt or return each document with explicit amendments and conditions.</w:t>
      </w:r>
    </w:p>
    <w:p>
      <w:pPr>
        <w:pStyle w:val="ListNumber"/>
      </w:pPr>
      <w:r>
        <w:t>Approve next actions and maintain public launch deferral until acceptance.</w:t>
      </w:r>
    </w:p>
    <w:p>
      <w:r>
        <w:t>Meeting [date/location or remote arrangements]; present [ ]; notice/quorum [ ]; declared conflicts [ ]; agenda materials/version [ ]; discussion summary [ ]; resolution IDs, votes and conditions [ ]; owners/deadlines [ ]; next meeting [ ]; chair and secretary signatures [ ]. Store adopted copies in the controlled company record repository.</w:t>
      </w:r>
    </w:p>
    <w:p>
      <w:pPr>
        <w:pStyle w:val="Heading1"/>
      </w:pPr>
      <w:r>
        <w:t>Immediate execution checklist</w:t>
      </w:r>
    </w:p>
    <w:p>
      <w:r>
        <w:t>Founders supply legal particulars and asset provenance. Counsel reviews legal form, statutes and data model. The formation coordinator obtains current CFCE forms and quotes. The board assigns roles and funds operations. Privacy/procurement complete permissions and provider locations. Engineering implements only the approved existing-workflow obligations. Operators rehearse rights, incidents and recovery. The authorized body signs the release decision only when the evidence exists.</w:t>
      </w:r>
    </w:p>
    <w:sectPr w:rsidR="00FC693F" w:rsidRPr="0006063C" w:rsidSect="00034616">
      <w:footerReference w:type="default" r:id="rId9"/>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07  |  KKEVO Tech  |  Board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KKEVO Tech board registers and Kkevo Family release acceptance</dc:title>
  <dc:subject>Kkevo Family company formation and data governance</dc:subject>
  <dc:creator>KKEVO Tech</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