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w:hAnsi="Aptos"/>
          <w:sz w:val="24"/>
        </w:rPr>
        <w:drawing>
          <wp:inline xmlns:a="http://schemas.openxmlformats.org/drawingml/2006/main" xmlns:pic="http://schemas.openxmlformats.org/drawingml/2006/picture">
            <wp:extent cx="1691640" cy="1691640"/>
            <wp:docPr id="1" name="Picture 1"/>
            <wp:cNvGraphicFramePr>
              <a:graphicFrameLocks noChangeAspect="1"/>
            </wp:cNvGraphicFramePr>
            <a:graphic>
              <a:graphicData uri="http://schemas.openxmlformats.org/drawingml/2006/picture">
                <pic:pic>
                  <pic:nvPicPr>
                    <pic:cNvPr id="0" name="proseit_logo.png"/>
                    <pic:cNvPicPr/>
                  </pic:nvPicPr>
                  <pic:blipFill>
                    <a:blip r:embed="rId11"/>
                    <a:stretch>
                      <a:fillRect/>
                    </a:stretch>
                  </pic:blipFill>
                  <pic:spPr>
                    <a:xfrm>
                      <a:off x="0" y="0"/>
                      <a:ext cx="1691640" cy="1691640"/>
                    </a:xfrm>
                    <a:prstGeom prst="rect"/>
                  </pic:spPr>
                </pic:pic>
              </a:graphicData>
            </a:graphic>
          </wp:inline>
        </w:drawing>
      </w:r>
    </w:p>
    <w:p>
      <w:pPr>
        <w:spacing w:before="200" w:after="40"/>
        <w:jc w:val="center"/>
      </w:pPr>
      <w:r>
        <w:rPr>
          <w:rFonts w:ascii="Aptos" w:hAnsi="Aptos"/>
          <w:b/>
          <w:color w:val="0E2E53"/>
          <w:sz w:val="36"/>
        </w:rPr>
        <w:t>PROSEIT ANGULAR EXPERIENCE PLATFORM</w:t>
      </w:r>
    </w:p>
    <w:p>
      <w:pPr>
        <w:spacing w:after="120"/>
        <w:jc w:val="center"/>
      </w:pPr>
      <w:r>
        <w:rPr>
          <w:rFonts w:ascii="Aptos" w:hAnsi="Aptos"/>
          <w:b/>
          <w:color w:val="D9A514"/>
          <w:sz w:val="44"/>
        </w:rPr>
        <w:t>PAEP</w:t>
      </w:r>
    </w:p>
    <w:tbl>
      <w:tblPr>
        <w:tblW w:type="auto" w:w="0"/>
        <w:jc w:val="center"/>
        <w:tblLayout w:type="fixed"/>
        <w:tblLook w:firstColumn="1" w:firstRow="1" w:lastColumn="0" w:lastRow="0" w:noHBand="0" w:noVBand="1" w:val="04A0"/>
      </w:tblPr>
      <w:tblGrid>
        <w:gridCol w:w="9504"/>
      </w:tblGrid>
      <w:tr>
        <w:tc>
          <w:tcPr>
            <w:tcW w:type="dxa" w:w="10166"/>
            <w:shd w:fill="0E2E53"/>
          </w:tcPr>
          <w:p>
            <w:pPr>
              <w:spacing w:before="240" w:after="240"/>
              <w:jc w:val="center"/>
            </w:pPr>
            <w:r>
              <w:rPr>
                <w:rFonts w:ascii="Aptos" w:hAnsi="Aptos"/>
                <w:b/>
                <w:color w:val="FFFFFF"/>
                <w:sz w:val="48"/>
              </w:rPr>
              <w:t>IMPLEMENTATION ROADMAP</w:t>
              <w:br/>
              <w:t>MILESTONES IB0–IB2</w:t>
            </w:r>
          </w:p>
        </w:tc>
      </w:tr>
    </w:tbl>
    <w:p>
      <w:pPr>
        <w:spacing w:before="160" w:after="200"/>
        <w:jc w:val="center"/>
      </w:pPr>
      <w:r>
        <w:rPr>
          <w:rFonts w:ascii="Aptos" w:hAnsi="Aptos"/>
          <w:b/>
          <w:color w:val="667085"/>
          <w:sz w:val="21"/>
        </w:rPr>
        <w:t>Workspace Governance • Product-Neutral Contracts • Runtime Configuration • Design Foundations • Core Components • UI Laboratory</w:t>
      </w:r>
    </w:p>
    <w:tbl>
      <w:tblPr>
        <w:tblW w:type="auto" w:w="0"/>
        <w:jc w:val="center"/>
        <w:tblLayout w:type="fixed"/>
        <w:tblLook w:firstColumn="1" w:firstRow="1" w:lastColumn="0" w:lastRow="0" w:noHBand="0" w:noVBand="1" w:val="04A0"/>
      </w:tblPr>
      <w:tblGrid>
        <w:gridCol w:w="5083"/>
        <w:gridCol w:w="5083"/>
      </w:tblGrid>
      <w:tr>
        <w:tc>
          <w:tcPr>
            <w:tcW w:type="dxa" w:w="5083"/>
            <w:shd w:fill="0E2E53"/>
            <w:tcBorders>
              <w:top w:val="single" w:sz="5" w:color="CBD5E1"/>
              <w:left w:val="single" w:sz="5" w:color="CBD5E1"/>
              <w:bottom w:val="single" w:sz="5" w:color="CBD5E1"/>
              <w:right w:val="single" w:sz="5" w:color="CBD5E1"/>
            </w:tcBorders>
          </w:tcPr>
          <w:p>
            <w:r>
              <w:rPr>
                <w:rFonts w:ascii="Aptos" w:hAnsi="Aptos"/>
                <w:b/>
                <w:color w:val="FFFFFF"/>
                <w:sz w:val="19"/>
              </w:rPr>
              <w:t>Document ID</w:t>
            </w:r>
          </w:p>
        </w:tc>
        <w:tc>
          <w:tcPr>
            <w:tcW w:type="dxa" w:w="5083"/>
            <w:shd w:fill="0E2E53"/>
            <w:tcBorders>
              <w:top w:val="single" w:sz="5" w:color="CBD5E1"/>
              <w:left w:val="single" w:sz="5" w:color="CBD5E1"/>
              <w:bottom w:val="single" w:sz="5" w:color="CBD5E1"/>
              <w:right w:val="single" w:sz="5" w:color="CBD5E1"/>
            </w:tcBorders>
          </w:tcPr>
          <w:p>
            <w:r>
              <w:rPr>
                <w:rFonts w:ascii="Aptos" w:hAnsi="Aptos"/>
                <w:b w:val="0"/>
                <w:color w:val="FFFFFF"/>
                <w:sz w:val="19"/>
              </w:rPr>
              <w:t>PROSEIT-STD-PMRA-AF-006-IR01 | PAEP-IR-01</w:t>
            </w:r>
          </w:p>
        </w:tc>
      </w:tr>
      <w:tr>
        <w:tc>
          <w:tcPr>
            <w:tcW w:type="dxa" w:w="5083"/>
            <w:shd w:fill="F8FAFC"/>
            <w:tcBorders>
              <w:top w:val="single" w:sz="5" w:color="CBD5E1"/>
              <w:left w:val="single" w:sz="5" w:color="CBD5E1"/>
              <w:bottom w:val="single" w:sz="5" w:color="CBD5E1"/>
              <w:right w:val="single" w:sz="5" w:color="CBD5E1"/>
            </w:tcBorders>
          </w:tcPr>
          <w:p>
            <w:r>
              <w:rPr>
                <w:rFonts w:ascii="Aptos" w:hAnsi="Aptos"/>
                <w:b/>
                <w:color w:val="122033"/>
                <w:sz w:val="19"/>
              </w:rPr>
              <w:t>Version</w:t>
            </w:r>
          </w:p>
        </w:tc>
        <w:tc>
          <w:tcPr>
            <w:tcW w:type="dxa" w:w="5083"/>
            <w:shd w:fill="FFFFFF"/>
            <w:tcBorders>
              <w:top w:val="single" w:sz="5" w:color="CBD5E1"/>
              <w:left w:val="single" w:sz="5" w:color="CBD5E1"/>
              <w:bottom w:val="single" w:sz="5" w:color="CBD5E1"/>
              <w:right w:val="single" w:sz="5" w:color="CBD5E1"/>
            </w:tcBorders>
          </w:tcPr>
          <w:p>
            <w:r>
              <w:rPr>
                <w:rFonts w:ascii="Aptos" w:hAnsi="Aptos"/>
                <w:b w:val="0"/>
                <w:color w:val="122033"/>
                <w:sz w:val="19"/>
              </w:rPr>
              <w:t>1.0 | 15 September 2026</w:t>
            </w:r>
          </w:p>
        </w:tc>
      </w:tr>
      <w:tr>
        <w:tc>
          <w:tcPr>
            <w:tcW w:type="dxa" w:w="5083"/>
            <w:shd w:fill="F8FAFC"/>
            <w:tcBorders>
              <w:top w:val="single" w:sz="5" w:color="CBD5E1"/>
              <w:left w:val="single" w:sz="5" w:color="CBD5E1"/>
              <w:bottom w:val="single" w:sz="5" w:color="CBD5E1"/>
              <w:right w:val="single" w:sz="5" w:color="CBD5E1"/>
            </w:tcBorders>
          </w:tcPr>
          <w:p>
            <w:r>
              <w:rPr>
                <w:rFonts w:ascii="Aptos" w:hAnsi="Aptos"/>
                <w:b/>
                <w:color w:val="122033"/>
                <w:sz w:val="19"/>
              </w:rPr>
              <w:t>Status</w:t>
            </w:r>
          </w:p>
        </w:tc>
        <w:tc>
          <w:tcPr>
            <w:tcW w:type="dxa" w:w="5083"/>
            <w:shd w:fill="FFFFFF"/>
            <w:tcBorders>
              <w:top w:val="single" w:sz="5" w:color="CBD5E1"/>
              <w:left w:val="single" w:sz="5" w:color="CBD5E1"/>
              <w:bottom w:val="single" w:sz="5" w:color="CBD5E1"/>
              <w:right w:val="single" w:sz="5" w:color="CBD5E1"/>
            </w:tcBorders>
          </w:tcPr>
          <w:p>
            <w:r>
              <w:rPr>
                <w:rFonts w:ascii="Aptos" w:hAnsi="Aptos"/>
                <w:b w:val="0"/>
                <w:color w:val="122033"/>
                <w:sz w:val="19"/>
              </w:rPr>
              <w:t>Implementation roadmap candidate</w:t>
            </w:r>
          </w:p>
        </w:tc>
      </w:tr>
      <w:tr>
        <w:tc>
          <w:tcPr>
            <w:tcW w:type="dxa" w:w="5083"/>
            <w:shd w:fill="F8FAFC"/>
            <w:tcBorders>
              <w:top w:val="single" w:sz="5" w:color="CBD5E1"/>
              <w:left w:val="single" w:sz="5" w:color="CBD5E1"/>
              <w:bottom w:val="single" w:sz="5" w:color="CBD5E1"/>
              <w:right w:val="single" w:sz="5" w:color="CBD5E1"/>
            </w:tcBorders>
          </w:tcPr>
          <w:p>
            <w:r>
              <w:rPr>
                <w:rFonts w:ascii="Aptos" w:hAnsi="Aptos"/>
                <w:b/>
                <w:color w:val="122033"/>
                <w:sz w:val="19"/>
              </w:rPr>
              <w:t>Parent Architecture</w:t>
            </w:r>
          </w:p>
        </w:tc>
        <w:tc>
          <w:tcPr>
            <w:tcW w:type="dxa" w:w="5083"/>
            <w:shd w:fill="FFFFFF"/>
            <w:tcBorders>
              <w:top w:val="single" w:sz="5" w:color="CBD5E1"/>
              <w:left w:val="single" w:sz="5" w:color="CBD5E1"/>
              <w:bottom w:val="single" w:sz="5" w:color="CBD5E1"/>
              <w:right w:val="single" w:sz="5" w:color="CBD5E1"/>
            </w:tcBorders>
          </w:tcPr>
          <w:p>
            <w:r>
              <w:rPr>
                <w:rFonts w:ascii="Aptos" w:hAnsi="Aptos"/>
                <w:b w:val="0"/>
                <w:color w:val="122033"/>
                <w:sz w:val="19"/>
              </w:rPr>
              <w:t>PAEP v1.1 - PROSEIT-STD-PMRA-AF-006</w:t>
            </w:r>
          </w:p>
        </w:tc>
      </w:tr>
      <w:tr>
        <w:tc>
          <w:tcPr>
            <w:tcW w:type="dxa" w:w="5083"/>
            <w:shd w:fill="F8FAFC"/>
            <w:tcBorders>
              <w:top w:val="single" w:sz="5" w:color="CBD5E1"/>
              <w:left w:val="single" w:sz="5" w:color="CBD5E1"/>
              <w:bottom w:val="single" w:sz="5" w:color="CBD5E1"/>
              <w:right w:val="single" w:sz="5" w:color="CBD5E1"/>
            </w:tcBorders>
          </w:tcPr>
          <w:p>
            <w:r>
              <w:rPr>
                <w:rFonts w:ascii="Aptos" w:hAnsi="Aptos"/>
                <w:b/>
                <w:color w:val="122033"/>
                <w:sz w:val="19"/>
              </w:rPr>
              <w:t>Implementation Baseline</w:t>
            </w:r>
          </w:p>
        </w:tc>
        <w:tc>
          <w:tcPr>
            <w:tcW w:type="dxa" w:w="5083"/>
            <w:shd w:fill="FFFFFF"/>
            <w:tcBorders>
              <w:top w:val="single" w:sz="5" w:color="CBD5E1"/>
              <w:left w:val="single" w:sz="5" w:color="CBD5E1"/>
              <w:bottom w:val="single" w:sz="5" w:color="CBD5E1"/>
              <w:right w:val="single" w:sz="5" w:color="CBD5E1"/>
            </w:tcBorders>
          </w:tcPr>
          <w:p>
            <w:r>
              <w:rPr>
                <w:rFonts w:ascii="Aptos" w:hAnsi="Aptos"/>
                <w:b w:val="0"/>
                <w:color w:val="122033"/>
                <w:sz w:val="19"/>
              </w:rPr>
              <w:t>PAEP-IB-01 - Implementation Architecture &amp; Repository Baseline v1.0</w:t>
            </w:r>
          </w:p>
        </w:tc>
      </w:tr>
      <w:tr>
        <w:tc>
          <w:tcPr>
            <w:tcW w:type="dxa" w:w="5083"/>
            <w:shd w:fill="F8FAFC"/>
            <w:tcBorders>
              <w:top w:val="single" w:sz="5" w:color="CBD5E1"/>
              <w:left w:val="single" w:sz="5" w:color="CBD5E1"/>
              <w:bottom w:val="single" w:sz="5" w:color="CBD5E1"/>
              <w:right w:val="single" w:sz="5" w:color="CBD5E1"/>
            </w:tcBorders>
          </w:tcPr>
          <w:p>
            <w:r>
              <w:rPr>
                <w:rFonts w:ascii="Aptos" w:hAnsi="Aptos"/>
                <w:b/>
                <w:color w:val="122033"/>
                <w:sz w:val="19"/>
              </w:rPr>
              <w:t>Solutions Architect &amp; Main Product Owner</w:t>
            </w:r>
          </w:p>
        </w:tc>
        <w:tc>
          <w:tcPr>
            <w:tcW w:type="dxa" w:w="5083"/>
            <w:shd w:fill="FFFFFF"/>
            <w:tcBorders>
              <w:top w:val="single" w:sz="5" w:color="CBD5E1"/>
              <w:left w:val="single" w:sz="5" w:color="CBD5E1"/>
              <w:bottom w:val="single" w:sz="5" w:color="CBD5E1"/>
              <w:right w:val="single" w:sz="5" w:color="CBD5E1"/>
            </w:tcBorders>
          </w:tcPr>
          <w:p>
            <w:r>
              <w:rPr>
                <w:rFonts w:ascii="Aptos" w:hAnsi="Aptos"/>
                <w:b w:val="0"/>
                <w:color w:val="122033"/>
                <w:sz w:val="19"/>
              </w:rPr>
              <w:t>Dr Kamulegeya Grace B (PhD)</w:t>
            </w:r>
          </w:p>
        </w:tc>
      </w:tr>
      <w:tr>
        <w:tc>
          <w:tcPr>
            <w:tcW w:type="dxa" w:w="5083"/>
            <w:shd w:fill="F8FAFC"/>
            <w:tcBorders>
              <w:top w:val="single" w:sz="5" w:color="CBD5E1"/>
              <w:left w:val="single" w:sz="5" w:color="CBD5E1"/>
              <w:bottom w:val="single" w:sz="5" w:color="CBD5E1"/>
              <w:right w:val="single" w:sz="5" w:color="CBD5E1"/>
            </w:tcBorders>
          </w:tcPr>
          <w:p>
            <w:r>
              <w:rPr>
                <w:rFonts w:ascii="Aptos" w:hAnsi="Aptos"/>
                <w:b/>
                <w:color w:val="122033"/>
                <w:sz w:val="19"/>
              </w:rPr>
              <w:t>Developing Organisation</w:t>
            </w:r>
          </w:p>
        </w:tc>
        <w:tc>
          <w:tcPr>
            <w:tcW w:type="dxa" w:w="5083"/>
            <w:shd w:fill="FFFFFF"/>
            <w:tcBorders>
              <w:top w:val="single" w:sz="5" w:color="CBD5E1"/>
              <w:left w:val="single" w:sz="5" w:color="CBD5E1"/>
              <w:bottom w:val="single" w:sz="5" w:color="CBD5E1"/>
              <w:right w:val="single" w:sz="5" w:color="CBD5E1"/>
            </w:tcBorders>
          </w:tcPr>
          <w:p>
            <w:r>
              <w:rPr>
                <w:rFonts w:ascii="Aptos" w:hAnsi="Aptos"/>
                <w:b w:val="0"/>
                <w:color w:val="122033"/>
                <w:sz w:val="19"/>
              </w:rPr>
              <w:t>PROSEIT ORGANISATION OF SOFTWARE PROFESSIONALS LTD</w:t>
            </w:r>
          </w:p>
        </w:tc>
      </w:tr>
      <w:tr>
        <w:tc>
          <w:tcPr>
            <w:tcW w:type="dxa" w:w="5083"/>
            <w:shd w:fill="F8FAFC"/>
            <w:tcBorders>
              <w:top w:val="single" w:sz="5" w:color="CBD5E1"/>
              <w:left w:val="single" w:sz="5" w:color="CBD5E1"/>
              <w:bottom w:val="single" w:sz="5" w:color="CBD5E1"/>
              <w:right w:val="single" w:sz="5" w:color="CBD5E1"/>
            </w:tcBorders>
          </w:tcPr>
          <w:p>
            <w:r>
              <w:rPr>
                <w:rFonts w:ascii="Aptos" w:hAnsi="Aptos"/>
                <w:b/>
                <w:color w:val="122033"/>
                <w:sz w:val="19"/>
              </w:rPr>
              <w:t>Roadmap Scope</w:t>
            </w:r>
          </w:p>
        </w:tc>
        <w:tc>
          <w:tcPr>
            <w:tcW w:type="dxa" w:w="5083"/>
            <w:shd w:fill="FFFFFF"/>
            <w:tcBorders>
              <w:top w:val="single" w:sz="5" w:color="CBD5E1"/>
              <w:left w:val="single" w:sz="5" w:color="CBD5E1"/>
              <w:bottom w:val="single" w:sz="5" w:color="CBD5E1"/>
              <w:right w:val="single" w:sz="5" w:color="CBD5E1"/>
            </w:tcBorders>
          </w:tcPr>
          <w:p>
            <w:r>
              <w:rPr>
                <w:rFonts w:ascii="Aptos" w:hAnsi="Aptos"/>
                <w:b w:val="0"/>
                <w:color w:val="122033"/>
                <w:sz w:val="19"/>
              </w:rPr>
              <w:t>IB0 Workspace &amp; Governance; IB1 Contracts &amp; Configuration; IB2 Foundation &amp; Components</w:t>
            </w:r>
          </w:p>
        </w:tc>
      </w:tr>
    </w:tbl>
    <w:p>
      <w:pPr>
        <w:spacing w:before="280"/>
        <w:jc w:val="center"/>
      </w:pPr>
      <w:r>
        <w:rPr>
          <w:rFonts w:ascii="Aptos" w:hAnsi="Aptos"/>
          <w:b/>
          <w:color w:val="D9A514"/>
          <w:sz w:val="22"/>
        </w:rPr>
        <w:t>CONTROLLED IMPLEMENTATION ROADMAP</w:t>
      </w:r>
    </w:p>
    <w:p>
      <w:pPr>
        <w:ind w:left="792" w:right="792"/>
        <w:jc w:val="center"/>
      </w:pPr>
      <w:r>
        <w:rPr>
          <w:rFonts w:ascii="Aptos" w:hAnsi="Aptos"/>
          <w:color w:val="667085"/>
          <w:sz w:val="21"/>
        </w:rPr>
        <w:t>Defines the sequenced engineering work, mandatory evidence and exit gates required to establish the PAEP platform kernel before enterprise-shell implementation begins.</w:t>
      </w:r>
    </w:p>
    <w:p>
      <w:r>
        <w:rPr>
          <w:rFonts w:ascii="Aptos" w:hAnsi="Aptos"/>
          <w:sz w:val="24"/>
        </w:rP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E2E53"/>
            <w:vAlign w:val="center"/>
          </w:tcPr>
          <w:p>
            <w:pPr>
              <w:jc w:val="left"/>
            </w:pPr>
            <w:r>
              <w:rPr>
                <w:rFonts w:ascii="Aptos" w:hAnsi="Aptos"/>
                <w:b/>
                <w:color w:val="FFFFFF"/>
                <w:sz w:val="21"/>
              </w:rPr>
              <w:t>Field</w:t>
            </w:r>
          </w:p>
        </w:tc>
        <w:tc>
          <w:tcPr>
            <w:tcW w:type="dxa" w:w="6696"/>
            <w:shd w:fill="0E2E53"/>
            <w:vAlign w:val="center"/>
          </w:tcPr>
          <w:p>
            <w:pPr>
              <w:jc w:val="left"/>
            </w:pPr>
            <w:r>
              <w:rPr>
                <w:rFonts w:ascii="Aptos" w:hAnsi="Aptos"/>
                <w:b/>
                <w:color w:val="FFFFFF"/>
                <w:sz w:val="21"/>
              </w:rPr>
              <w:t>Controlled Value</w:t>
            </w:r>
          </w:p>
        </w:tc>
      </w:tr>
      <w:tr>
        <w:tc>
          <w:tcPr>
            <w:tcW w:type="dxa" w:w="2880"/>
            <w:vAlign w:val="top"/>
          </w:tcPr>
          <w:p>
            <w:pPr>
              <w:spacing w:after="20"/>
            </w:pPr>
            <w:r>
              <w:rPr>
                <w:rFonts w:ascii="Aptos" w:hAnsi="Aptos"/>
                <w:color w:val="122033"/>
                <w:sz w:val="21"/>
              </w:rPr>
              <w:t>Document title</w:t>
            </w:r>
          </w:p>
        </w:tc>
        <w:tc>
          <w:tcPr>
            <w:tcW w:type="dxa" w:w="6696"/>
            <w:vAlign w:val="top"/>
          </w:tcPr>
          <w:p>
            <w:pPr>
              <w:spacing w:after="20"/>
            </w:pPr>
            <w:r>
              <w:rPr>
                <w:rFonts w:ascii="Aptos" w:hAnsi="Aptos"/>
                <w:color w:val="122033"/>
                <w:sz w:val="21"/>
              </w:rPr>
              <w:t>ProSEIT Angular Experience Platform (PAEP) - Implementation Roadmap: Milestones IB0–IB2</w:t>
            </w:r>
          </w:p>
        </w:tc>
      </w:tr>
      <w:tr>
        <w:tc>
          <w:tcPr>
            <w:tcW w:type="dxa" w:w="2880"/>
            <w:vAlign w:val="top"/>
            <w:shd w:fill="F8FAFC"/>
          </w:tcPr>
          <w:p>
            <w:pPr>
              <w:spacing w:after="20"/>
            </w:pPr>
            <w:r>
              <w:rPr>
                <w:rFonts w:ascii="Aptos" w:hAnsi="Aptos"/>
                <w:color w:val="122033"/>
                <w:sz w:val="21"/>
              </w:rPr>
              <w:t>Document ID</w:t>
            </w:r>
          </w:p>
        </w:tc>
        <w:tc>
          <w:tcPr>
            <w:tcW w:type="dxa" w:w="6696"/>
            <w:vAlign w:val="top"/>
            <w:shd w:fill="F8FAFC"/>
          </w:tcPr>
          <w:p>
            <w:pPr>
              <w:spacing w:after="20"/>
            </w:pPr>
            <w:r>
              <w:rPr>
                <w:rFonts w:ascii="Aptos" w:hAnsi="Aptos"/>
                <w:color w:val="122033"/>
                <w:sz w:val="21"/>
              </w:rPr>
              <w:t>PROSEIT-STD-PMRA-AF-006-IR01 / PAEP-IR-01</w:t>
            </w:r>
          </w:p>
        </w:tc>
      </w:tr>
      <w:tr>
        <w:tc>
          <w:tcPr>
            <w:tcW w:type="dxa" w:w="2880"/>
            <w:vAlign w:val="top"/>
          </w:tcPr>
          <w:p>
            <w:pPr>
              <w:spacing w:after="20"/>
            </w:pPr>
            <w:r>
              <w:rPr>
                <w:rFonts w:ascii="Aptos" w:hAnsi="Aptos"/>
                <w:color w:val="122033"/>
                <w:sz w:val="21"/>
              </w:rPr>
              <w:t>Version</w:t>
            </w:r>
          </w:p>
        </w:tc>
        <w:tc>
          <w:tcPr>
            <w:tcW w:type="dxa" w:w="6696"/>
            <w:vAlign w:val="top"/>
          </w:tcPr>
          <w:p>
            <w:pPr>
              <w:spacing w:after="20"/>
            </w:pPr>
            <w:r>
              <w:rPr>
                <w:rFonts w:ascii="Aptos" w:hAnsi="Aptos"/>
                <w:color w:val="122033"/>
                <w:sz w:val="21"/>
              </w:rPr>
              <w:t>1.0</w:t>
            </w:r>
          </w:p>
        </w:tc>
      </w:tr>
      <w:tr>
        <w:tc>
          <w:tcPr>
            <w:tcW w:type="dxa" w:w="2880"/>
            <w:vAlign w:val="top"/>
            <w:shd w:fill="F8FAFC"/>
          </w:tcPr>
          <w:p>
            <w:pPr>
              <w:spacing w:after="20"/>
            </w:pPr>
            <w:r>
              <w:rPr>
                <w:rFonts w:ascii="Aptos" w:hAnsi="Aptos"/>
                <w:color w:val="122033"/>
                <w:sz w:val="21"/>
              </w:rPr>
              <w:t>Status</w:t>
            </w:r>
          </w:p>
        </w:tc>
        <w:tc>
          <w:tcPr>
            <w:tcW w:type="dxa" w:w="6696"/>
            <w:vAlign w:val="top"/>
            <w:shd w:fill="F8FAFC"/>
          </w:tcPr>
          <w:p>
            <w:pPr>
              <w:spacing w:after="20"/>
            </w:pPr>
            <w:r>
              <w:rPr>
                <w:rFonts w:ascii="Aptos" w:hAnsi="Aptos"/>
                <w:color w:val="122033"/>
                <w:sz w:val="21"/>
              </w:rPr>
              <w:t>Implementation roadmap candidate</w:t>
            </w:r>
          </w:p>
        </w:tc>
      </w:tr>
      <w:tr>
        <w:tc>
          <w:tcPr>
            <w:tcW w:type="dxa" w:w="2880"/>
            <w:vAlign w:val="top"/>
          </w:tcPr>
          <w:p>
            <w:pPr>
              <w:spacing w:after="20"/>
            </w:pPr>
            <w:r>
              <w:rPr>
                <w:rFonts w:ascii="Aptos" w:hAnsi="Aptos"/>
                <w:color w:val="122033"/>
                <w:sz w:val="21"/>
              </w:rPr>
              <w:t>Effective date</w:t>
            </w:r>
          </w:p>
        </w:tc>
        <w:tc>
          <w:tcPr>
            <w:tcW w:type="dxa" w:w="6696"/>
            <w:vAlign w:val="top"/>
          </w:tcPr>
          <w:p>
            <w:pPr>
              <w:spacing w:after="20"/>
            </w:pPr>
            <w:r>
              <w:rPr>
                <w:rFonts w:ascii="Aptos" w:hAnsi="Aptos"/>
                <w:color w:val="122033"/>
                <w:sz w:val="21"/>
              </w:rPr>
              <w:t>Upon Product Owner / Architecture approval</w:t>
            </w:r>
          </w:p>
        </w:tc>
      </w:tr>
      <w:tr>
        <w:tc>
          <w:tcPr>
            <w:tcW w:type="dxa" w:w="2880"/>
            <w:vAlign w:val="top"/>
            <w:shd w:fill="F8FAFC"/>
          </w:tcPr>
          <w:p>
            <w:pPr>
              <w:spacing w:after="20"/>
            </w:pPr>
            <w:r>
              <w:rPr>
                <w:rFonts w:ascii="Aptos" w:hAnsi="Aptos"/>
                <w:color w:val="122033"/>
                <w:sz w:val="21"/>
              </w:rPr>
              <w:t>Parent architecture</w:t>
            </w:r>
          </w:p>
        </w:tc>
        <w:tc>
          <w:tcPr>
            <w:tcW w:type="dxa" w:w="6696"/>
            <w:vAlign w:val="top"/>
            <w:shd w:fill="F8FAFC"/>
          </w:tcPr>
          <w:p>
            <w:pPr>
              <w:spacing w:after="20"/>
            </w:pPr>
            <w:r>
              <w:rPr>
                <w:rFonts w:ascii="Aptos" w:hAnsi="Aptos"/>
                <w:color w:val="122033"/>
                <w:sz w:val="21"/>
              </w:rPr>
              <w:t>PAEP v1.1 - PROSEIT-STD-PMRA-AF-006</w:t>
            </w:r>
          </w:p>
        </w:tc>
      </w:tr>
      <w:tr>
        <w:tc>
          <w:tcPr>
            <w:tcW w:type="dxa" w:w="2880"/>
            <w:vAlign w:val="top"/>
          </w:tcPr>
          <w:p>
            <w:pPr>
              <w:spacing w:after="20"/>
            </w:pPr>
            <w:r>
              <w:rPr>
                <w:rFonts w:ascii="Aptos" w:hAnsi="Aptos"/>
                <w:color w:val="122033"/>
                <w:sz w:val="21"/>
              </w:rPr>
              <w:t>Implementation baseline</w:t>
            </w:r>
          </w:p>
        </w:tc>
        <w:tc>
          <w:tcPr>
            <w:tcW w:type="dxa" w:w="6696"/>
            <w:vAlign w:val="top"/>
          </w:tcPr>
          <w:p>
            <w:pPr>
              <w:spacing w:after="20"/>
            </w:pPr>
            <w:r>
              <w:rPr>
                <w:rFonts w:ascii="Aptos" w:hAnsi="Aptos"/>
                <w:color w:val="122033"/>
                <w:sz w:val="21"/>
              </w:rPr>
              <w:t>PAEP-IB-01 - Implementation Architecture &amp; Repository Baseline v1.0</w:t>
            </w:r>
          </w:p>
        </w:tc>
      </w:tr>
      <w:tr>
        <w:tc>
          <w:tcPr>
            <w:tcW w:type="dxa" w:w="2880"/>
            <w:vAlign w:val="top"/>
            <w:shd w:fill="F8FAFC"/>
          </w:tcPr>
          <w:p>
            <w:pPr>
              <w:spacing w:after="20"/>
            </w:pPr>
            <w:r>
              <w:rPr>
                <w:rFonts w:ascii="Aptos" w:hAnsi="Aptos"/>
                <w:color w:val="122033"/>
                <w:sz w:val="21"/>
              </w:rPr>
              <w:t>Backend decision</w:t>
            </w:r>
          </w:p>
        </w:tc>
        <w:tc>
          <w:tcPr>
            <w:tcW w:type="dxa" w:w="6696"/>
            <w:vAlign w:val="top"/>
            <w:shd w:fill="F8FAFC"/>
          </w:tcPr>
          <w:p>
            <w:pPr>
              <w:spacing w:after="20"/>
            </w:pPr>
            <w:r>
              <w:rPr>
                <w:rFonts w:ascii="Aptos" w:hAnsi="Aptos"/>
                <w:color w:val="122033"/>
                <w:sz w:val="21"/>
              </w:rPr>
              <w:t>ERPNext + Frappe retained; no backend replacement introduced</w:t>
            </w:r>
          </w:p>
        </w:tc>
      </w:tr>
      <w:tr>
        <w:tc>
          <w:tcPr>
            <w:tcW w:type="dxa" w:w="2880"/>
            <w:vAlign w:val="top"/>
          </w:tcPr>
          <w:p>
            <w:pPr>
              <w:spacing w:after="20"/>
            </w:pPr>
            <w:r>
              <w:rPr>
                <w:rFonts w:ascii="Aptos" w:hAnsi="Aptos"/>
                <w:color w:val="122033"/>
                <w:sz w:val="21"/>
              </w:rPr>
              <w:t>Main-text formatting</w:t>
            </w:r>
          </w:p>
        </w:tc>
        <w:tc>
          <w:tcPr>
            <w:tcW w:type="dxa" w:w="6696"/>
            <w:vAlign w:val="top"/>
          </w:tcPr>
          <w:p>
            <w:pPr>
              <w:spacing w:after="20"/>
            </w:pPr>
            <w:r>
              <w:rPr>
                <w:rFonts w:ascii="Aptos" w:hAnsi="Aptos"/>
                <w:color w:val="122033"/>
                <w:sz w:val="21"/>
              </w:rPr>
              <w:t>12 pt body text; enumerated lists use lowercase Roman numerals and restart at (i) for every new list</w:t>
            </w:r>
          </w:p>
        </w:tc>
      </w:tr>
      <w:tr>
        <w:tc>
          <w:tcPr>
            <w:tcW w:type="dxa" w:w="2880"/>
            <w:vAlign w:val="top"/>
            <w:shd w:fill="F8FAFC"/>
          </w:tcPr>
          <w:p>
            <w:pPr>
              <w:spacing w:after="20"/>
            </w:pPr>
            <w:r>
              <w:rPr>
                <w:rFonts w:ascii="Aptos" w:hAnsi="Aptos"/>
                <w:color w:val="122033"/>
                <w:sz w:val="21"/>
              </w:rPr>
              <w:t>Roadmap boundary</w:t>
            </w:r>
          </w:p>
        </w:tc>
        <w:tc>
          <w:tcPr>
            <w:tcW w:type="dxa" w:w="6696"/>
            <w:vAlign w:val="top"/>
            <w:shd w:fill="F8FAFC"/>
          </w:tcPr>
          <w:p>
            <w:pPr>
              <w:spacing w:after="20"/>
            </w:pPr>
            <w:r>
              <w:rPr>
                <w:rFonts w:ascii="Aptos" w:hAnsi="Aptos"/>
                <w:color w:val="122033"/>
                <w:sz w:val="21"/>
              </w:rPr>
              <w:t>IB0 through IB2 only; IB3 begins enterprise-shell and reference-application composition</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10166"/>
            <w:shd w:fill="FFF8E7"/>
            <w:tcBorders>
              <w:top w:val="single" w:sz="12" w:color="D9A514"/>
              <w:left w:val="single" w:sz="12" w:color="D9A514"/>
              <w:bottom w:val="single" w:sz="8" w:color="D9A514"/>
              <w:right w:val="single" w:sz="8" w:color="D9A514"/>
            </w:tcBorders>
          </w:tcPr>
          <w:p>
            <w:pPr>
              <w:spacing w:before="80" w:after="80"/>
            </w:pPr>
            <w:r>
              <w:rPr>
                <w:rFonts w:ascii="Aptos" w:hAnsi="Aptos"/>
                <w:b/>
                <w:color w:val="D9A514"/>
                <w:sz w:val="21"/>
              </w:rPr>
              <w:t>NORMATIVE RELATIONSHIP</w:t>
              <w:br/>
            </w:r>
            <w:r>
              <w:rPr>
                <w:rFonts w:ascii="Aptos" w:hAnsi="Aptos"/>
                <w:color w:val="122033"/>
                <w:sz w:val="23"/>
              </w:rPr>
              <w:t>This roadmap is subordinate to PAEP v1.1 and PAEP-IB-01. It sequences implementation work and acceptance evidence but shall not weaken or reverse the parent architecture. If a roadmap action conflicts with PAEP security, portability, accessibility, reporting, backend-authority or package-boundary controls, the parent architecture prevails.</w:t>
            </w:r>
          </w:p>
        </w:tc>
      </w:tr>
    </w:tbl>
    <w:p>
      <w:pPr>
        <w:spacing w:after="0"/>
      </w:pPr>
    </w:p>
    <w:p>
      <w:pPr>
        <w:pStyle w:val="Heading2"/>
      </w:pPr>
      <w:r>
        <w:t>Revision History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0E2E53"/>
            <w:vAlign w:val="center"/>
          </w:tcPr>
          <w:p>
            <w:pPr>
              <w:jc w:val="left"/>
            </w:pPr>
            <w:r>
              <w:rPr>
                <w:rFonts w:ascii="Aptos" w:hAnsi="Aptos"/>
                <w:b/>
                <w:color w:val="FFFFFF"/>
                <w:sz w:val="20"/>
              </w:rPr>
              <w:t>Version</w:t>
            </w:r>
          </w:p>
        </w:tc>
        <w:tc>
          <w:tcPr>
            <w:tcW w:type="dxa" w:w="1584"/>
            <w:shd w:fill="0E2E53"/>
            <w:vAlign w:val="center"/>
          </w:tcPr>
          <w:p>
            <w:pPr>
              <w:jc w:val="left"/>
            </w:pPr>
            <w:r>
              <w:rPr>
                <w:rFonts w:ascii="Aptos" w:hAnsi="Aptos"/>
                <w:b/>
                <w:color w:val="FFFFFF"/>
                <w:sz w:val="20"/>
              </w:rPr>
              <w:t>Date</w:t>
            </w:r>
          </w:p>
        </w:tc>
        <w:tc>
          <w:tcPr>
            <w:tcW w:type="dxa" w:w="2232"/>
            <w:shd w:fill="0E2E53"/>
            <w:vAlign w:val="center"/>
          </w:tcPr>
          <w:p>
            <w:pPr>
              <w:jc w:val="left"/>
            </w:pPr>
            <w:r>
              <w:rPr>
                <w:rFonts w:ascii="Aptos" w:hAnsi="Aptos"/>
                <w:b/>
                <w:color w:val="FFFFFF"/>
                <w:sz w:val="20"/>
              </w:rPr>
              <w:t>Disposition</w:t>
            </w:r>
          </w:p>
        </w:tc>
        <w:tc>
          <w:tcPr>
            <w:tcW w:type="dxa" w:w="4608"/>
            <w:shd w:fill="0E2E53"/>
            <w:vAlign w:val="center"/>
          </w:tcPr>
          <w:p>
            <w:pPr>
              <w:jc w:val="left"/>
            </w:pPr>
            <w:r>
              <w:rPr>
                <w:rFonts w:ascii="Aptos" w:hAnsi="Aptos"/>
                <w:b/>
                <w:color w:val="FFFFFF"/>
                <w:sz w:val="20"/>
              </w:rPr>
              <w:t>Principal change</w:t>
            </w:r>
          </w:p>
        </w:tc>
      </w:tr>
      <w:tr>
        <w:tc>
          <w:tcPr>
            <w:tcW w:type="dxa" w:w="1152"/>
            <w:vAlign w:val="top"/>
          </w:tcPr>
          <w:p>
            <w:pPr>
              <w:spacing w:after="20"/>
            </w:pPr>
            <w:r>
              <w:rPr>
                <w:rFonts w:ascii="Aptos" w:hAnsi="Aptos"/>
                <w:color w:val="122033"/>
                <w:sz w:val="20"/>
              </w:rPr>
              <w:t>1.0</w:t>
            </w:r>
          </w:p>
        </w:tc>
        <w:tc>
          <w:tcPr>
            <w:tcW w:type="dxa" w:w="1584"/>
            <w:vAlign w:val="top"/>
          </w:tcPr>
          <w:p>
            <w:pPr>
              <w:spacing w:after="20"/>
            </w:pPr>
            <w:r>
              <w:rPr>
                <w:rFonts w:ascii="Aptos" w:hAnsi="Aptos"/>
                <w:color w:val="122033"/>
                <w:sz w:val="20"/>
              </w:rPr>
              <w:t>15 Sep 2026</w:t>
            </w:r>
          </w:p>
        </w:tc>
        <w:tc>
          <w:tcPr>
            <w:tcW w:type="dxa" w:w="2232"/>
            <w:vAlign w:val="top"/>
          </w:tcPr>
          <w:p>
            <w:pPr>
              <w:spacing w:after="20"/>
            </w:pPr>
            <w:r>
              <w:rPr>
                <w:rFonts w:ascii="Aptos" w:hAnsi="Aptos"/>
                <w:color w:val="122033"/>
                <w:sz w:val="20"/>
              </w:rPr>
              <w:t>Implementation roadmap candidate</w:t>
            </w:r>
          </w:p>
        </w:tc>
        <w:tc>
          <w:tcPr>
            <w:tcW w:type="dxa" w:w="4608"/>
            <w:vAlign w:val="top"/>
          </w:tcPr>
          <w:p>
            <w:pPr>
              <w:spacing w:after="20"/>
            </w:pPr>
            <w:r>
              <w:rPr>
                <w:rFonts w:ascii="Aptos" w:hAnsi="Aptos"/>
                <w:color w:val="122033"/>
                <w:sz w:val="20"/>
              </w:rPr>
              <w:t>Formalises IB0–IB2 into governed work packages, mandatory evidence, exit gates and developer handover criteria.</w:t>
            </w:r>
          </w:p>
        </w:tc>
      </w:tr>
    </w:tbl>
    <w:p>
      <w:pPr>
        <w:spacing w:after="40"/>
      </w:pPr>
    </w:p>
    <w:p>
      <w:pPr>
        <w:pStyle w:val="Heading2"/>
      </w:pPr>
      <w:r>
        <w:t>Approval and Decision Rights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240"/>
            <w:shd w:fill="0E2E53"/>
            <w:vAlign w:val="center"/>
          </w:tcPr>
          <w:p>
            <w:pPr>
              <w:jc w:val="left"/>
            </w:pPr>
            <w:r>
              <w:rPr>
                <w:rFonts w:ascii="Aptos" w:hAnsi="Aptos"/>
                <w:b/>
                <w:color w:val="FFFFFF"/>
                <w:sz w:val="20"/>
              </w:rPr>
              <w:t>Decision domain</w:t>
            </w:r>
          </w:p>
        </w:tc>
        <w:tc>
          <w:tcPr>
            <w:tcW w:type="dxa" w:w="2664"/>
            <w:shd w:fill="0E2E53"/>
            <w:vAlign w:val="center"/>
          </w:tcPr>
          <w:p>
            <w:pPr>
              <w:jc w:val="left"/>
            </w:pPr>
            <w:r>
              <w:rPr>
                <w:rFonts w:ascii="Aptos" w:hAnsi="Aptos"/>
                <w:b/>
                <w:color w:val="FFFFFF"/>
                <w:sz w:val="20"/>
              </w:rPr>
              <w:t>Primary authority</w:t>
            </w:r>
          </w:p>
        </w:tc>
        <w:tc>
          <w:tcPr>
            <w:tcW w:type="dxa" w:w="4032"/>
            <w:shd w:fill="0E2E53"/>
            <w:vAlign w:val="center"/>
          </w:tcPr>
          <w:p>
            <w:pPr>
              <w:jc w:val="left"/>
            </w:pPr>
            <w:r>
              <w:rPr>
                <w:rFonts w:ascii="Aptos" w:hAnsi="Aptos"/>
                <w:b/>
                <w:color w:val="FFFFFF"/>
                <w:sz w:val="20"/>
              </w:rPr>
              <w:t>Required supporting review</w:t>
            </w:r>
          </w:p>
        </w:tc>
      </w:tr>
      <w:tr>
        <w:tc>
          <w:tcPr>
            <w:tcW w:type="dxa" w:w="3240"/>
            <w:vAlign w:val="top"/>
          </w:tcPr>
          <w:p>
            <w:pPr>
              <w:spacing w:after="20"/>
            </w:pPr>
            <w:r>
              <w:rPr>
                <w:rFonts w:ascii="Aptos" w:hAnsi="Aptos"/>
                <w:color w:val="122033"/>
                <w:sz w:val="20"/>
              </w:rPr>
              <w:t>Roadmap sequence and architecture gates</w:t>
            </w:r>
          </w:p>
        </w:tc>
        <w:tc>
          <w:tcPr>
            <w:tcW w:type="dxa" w:w="2664"/>
            <w:vAlign w:val="top"/>
          </w:tcPr>
          <w:p>
            <w:pPr>
              <w:spacing w:after="20"/>
            </w:pPr>
            <w:r>
              <w:rPr>
                <w:rFonts w:ascii="Aptos" w:hAnsi="Aptos"/>
                <w:color w:val="122033"/>
                <w:sz w:val="20"/>
              </w:rPr>
              <w:t>Solutions Architect</w:t>
            </w:r>
          </w:p>
        </w:tc>
        <w:tc>
          <w:tcPr>
            <w:tcW w:type="dxa" w:w="4032"/>
            <w:vAlign w:val="top"/>
          </w:tcPr>
          <w:p>
            <w:pPr>
              <w:spacing w:after="20"/>
            </w:pPr>
            <w:r>
              <w:rPr>
                <w:rFonts w:ascii="Aptos" w:hAnsi="Aptos"/>
                <w:color w:val="122033"/>
                <w:sz w:val="20"/>
              </w:rPr>
              <w:t>Frontend Platform Council / PMRA Architecture Review Board</w:t>
            </w:r>
          </w:p>
        </w:tc>
      </w:tr>
      <w:tr>
        <w:tc>
          <w:tcPr>
            <w:tcW w:type="dxa" w:w="3240"/>
            <w:vAlign w:val="top"/>
            <w:shd w:fill="F8FAFC"/>
          </w:tcPr>
          <w:p>
            <w:pPr>
              <w:spacing w:after="20"/>
            </w:pPr>
            <w:r>
              <w:rPr>
                <w:rFonts w:ascii="Aptos" w:hAnsi="Aptos"/>
                <w:color w:val="122033"/>
                <w:sz w:val="20"/>
              </w:rPr>
              <w:t>Platform implementation priorities and milestone acceptance</w:t>
            </w:r>
          </w:p>
        </w:tc>
        <w:tc>
          <w:tcPr>
            <w:tcW w:type="dxa" w:w="2664"/>
            <w:vAlign w:val="top"/>
            <w:shd w:fill="F8FAFC"/>
          </w:tcPr>
          <w:p>
            <w:pPr>
              <w:spacing w:after="20"/>
            </w:pPr>
            <w:r>
              <w:rPr>
                <w:rFonts w:ascii="Aptos" w:hAnsi="Aptos"/>
                <w:color w:val="122033"/>
                <w:sz w:val="20"/>
              </w:rPr>
              <w:t>Main Product Owner</w:t>
            </w:r>
          </w:p>
        </w:tc>
        <w:tc>
          <w:tcPr>
            <w:tcW w:type="dxa" w:w="4032"/>
            <w:vAlign w:val="top"/>
            <w:shd w:fill="F8FAFC"/>
          </w:tcPr>
          <w:p>
            <w:pPr>
              <w:spacing w:after="20"/>
            </w:pPr>
            <w:r>
              <w:rPr>
                <w:rFonts w:ascii="Aptos" w:hAnsi="Aptos"/>
                <w:color w:val="122033"/>
                <w:sz w:val="20"/>
              </w:rPr>
              <w:t>Affected engineering leads and QA</w:t>
            </w:r>
          </w:p>
        </w:tc>
      </w:tr>
      <w:tr>
        <w:tc>
          <w:tcPr>
            <w:tcW w:type="dxa" w:w="3240"/>
            <w:vAlign w:val="top"/>
          </w:tcPr>
          <w:p>
            <w:pPr>
              <w:spacing w:after="20"/>
            </w:pPr>
            <w:r>
              <w:rPr>
                <w:rFonts w:ascii="Aptos" w:hAnsi="Aptos"/>
                <w:color w:val="122033"/>
                <w:sz w:val="20"/>
              </w:rPr>
              <w:t>Package boundaries and public contracts</w:t>
            </w:r>
          </w:p>
        </w:tc>
        <w:tc>
          <w:tcPr>
            <w:tcW w:type="dxa" w:w="2664"/>
            <w:vAlign w:val="top"/>
          </w:tcPr>
          <w:p>
            <w:pPr>
              <w:spacing w:after="20"/>
            </w:pPr>
            <w:r>
              <w:rPr>
                <w:rFonts w:ascii="Aptos" w:hAnsi="Aptos"/>
                <w:color w:val="122033"/>
                <w:sz w:val="20"/>
              </w:rPr>
              <w:t>Solutions Architect / Platform Lead</w:t>
            </w:r>
          </w:p>
        </w:tc>
        <w:tc>
          <w:tcPr>
            <w:tcW w:type="dxa" w:w="4032"/>
            <w:vAlign w:val="top"/>
          </w:tcPr>
          <w:p>
            <w:pPr>
              <w:spacing w:after="20"/>
            </w:pPr>
            <w:r>
              <w:rPr>
                <w:rFonts w:ascii="Aptos" w:hAnsi="Aptos"/>
                <w:color w:val="122033"/>
                <w:sz w:val="20"/>
              </w:rPr>
              <w:t>Architecture review and CI evidence</w:t>
            </w:r>
          </w:p>
        </w:tc>
      </w:tr>
      <w:tr>
        <w:tc>
          <w:tcPr>
            <w:tcW w:type="dxa" w:w="3240"/>
            <w:vAlign w:val="top"/>
            <w:shd w:fill="F8FAFC"/>
          </w:tcPr>
          <w:p>
            <w:pPr>
              <w:spacing w:after="20"/>
            </w:pPr>
            <w:r>
              <w:rPr>
                <w:rFonts w:ascii="Aptos" w:hAnsi="Aptos"/>
                <w:color w:val="122033"/>
                <w:sz w:val="20"/>
              </w:rPr>
              <w:t>Security and runtime configuration controls</w:t>
            </w:r>
          </w:p>
        </w:tc>
        <w:tc>
          <w:tcPr>
            <w:tcW w:type="dxa" w:w="2664"/>
            <w:vAlign w:val="top"/>
            <w:shd w:fill="F8FAFC"/>
          </w:tcPr>
          <w:p>
            <w:pPr>
              <w:spacing w:after="20"/>
            </w:pPr>
            <w:r>
              <w:rPr>
                <w:rFonts w:ascii="Aptos" w:hAnsi="Aptos"/>
                <w:color w:val="122033"/>
                <w:sz w:val="20"/>
              </w:rPr>
              <w:t>Security &amp; Assurance Authority</w:t>
            </w:r>
          </w:p>
        </w:tc>
        <w:tc>
          <w:tcPr>
            <w:tcW w:type="dxa" w:w="4032"/>
            <w:vAlign w:val="top"/>
            <w:shd w:fill="F8FAFC"/>
          </w:tcPr>
          <w:p>
            <w:pPr>
              <w:spacing w:after="20"/>
            </w:pPr>
            <w:r>
              <w:rPr>
                <w:rFonts w:ascii="Aptos" w:hAnsi="Aptos"/>
                <w:color w:val="122033"/>
                <w:sz w:val="20"/>
              </w:rPr>
              <w:t>Threat model and negative test evidence</w:t>
            </w:r>
          </w:p>
        </w:tc>
      </w:tr>
      <w:tr>
        <w:tc>
          <w:tcPr>
            <w:tcW w:type="dxa" w:w="3240"/>
            <w:vAlign w:val="top"/>
          </w:tcPr>
          <w:p>
            <w:pPr>
              <w:spacing w:after="20"/>
            </w:pPr>
            <w:r>
              <w:rPr>
                <w:rFonts w:ascii="Aptos" w:hAnsi="Aptos"/>
                <w:color w:val="122033"/>
                <w:sz w:val="20"/>
              </w:rPr>
              <w:t>Design system, accessibility and UX acceptance</w:t>
            </w:r>
          </w:p>
        </w:tc>
        <w:tc>
          <w:tcPr>
            <w:tcW w:type="dxa" w:w="2664"/>
            <w:vAlign w:val="top"/>
          </w:tcPr>
          <w:p>
            <w:pPr>
              <w:spacing w:after="20"/>
            </w:pPr>
            <w:r>
              <w:rPr>
                <w:rFonts w:ascii="Aptos" w:hAnsi="Aptos"/>
                <w:color w:val="122033"/>
                <w:sz w:val="20"/>
              </w:rPr>
              <w:t>Frontend Platform Council / Quality Lead</w:t>
            </w:r>
          </w:p>
        </w:tc>
        <w:tc>
          <w:tcPr>
            <w:tcW w:type="dxa" w:w="4032"/>
            <w:vAlign w:val="top"/>
          </w:tcPr>
          <w:p>
            <w:pPr>
              <w:spacing w:after="20"/>
            </w:pPr>
            <w:r>
              <w:rPr>
                <w:rFonts w:ascii="Aptos" w:hAnsi="Aptos"/>
                <w:color w:val="122033"/>
                <w:sz w:val="20"/>
              </w:rPr>
              <w:t>UI lab, accessibility and regression evidence</w:t>
            </w:r>
          </w:p>
        </w:tc>
      </w:tr>
      <w:tr>
        <w:tc>
          <w:tcPr>
            <w:tcW w:type="dxa" w:w="3240"/>
            <w:vAlign w:val="top"/>
            <w:shd w:fill="F8FAFC"/>
          </w:tcPr>
          <w:p>
            <w:pPr>
              <w:spacing w:after="20"/>
            </w:pPr>
            <w:r>
              <w:rPr>
                <w:rFonts w:ascii="Aptos" w:hAnsi="Aptos"/>
                <w:color w:val="122033"/>
                <w:sz w:val="20"/>
              </w:rPr>
              <w:t>Milestone release evidence</w:t>
            </w:r>
          </w:p>
        </w:tc>
        <w:tc>
          <w:tcPr>
            <w:tcW w:type="dxa" w:w="2664"/>
            <w:vAlign w:val="top"/>
            <w:shd w:fill="F8FAFC"/>
          </w:tcPr>
          <w:p>
            <w:pPr>
              <w:spacing w:after="20"/>
            </w:pPr>
            <w:r>
              <w:rPr>
                <w:rFonts w:ascii="Aptos" w:hAnsi="Aptos"/>
                <w:color w:val="122033"/>
                <w:sz w:val="20"/>
              </w:rPr>
              <w:t>Solutions Architect + Main Product Owner</w:t>
            </w:r>
          </w:p>
        </w:tc>
        <w:tc>
          <w:tcPr>
            <w:tcW w:type="dxa" w:w="4032"/>
            <w:vAlign w:val="top"/>
            <w:shd w:fill="F8FAFC"/>
          </w:tcPr>
          <w:p>
            <w:pPr>
              <w:spacing w:after="20"/>
            </w:pPr>
            <w:r>
              <w:rPr>
                <w:rFonts w:ascii="Aptos" w:hAnsi="Aptos"/>
                <w:color w:val="122033"/>
                <w:sz w:val="20"/>
              </w:rPr>
              <w:t>Compatibility, test and provenance records</w:t>
            </w:r>
          </w:p>
        </w:tc>
      </w:tr>
    </w:tbl>
    <w:p>
      <w:pPr>
        <w:spacing w:after="40"/>
      </w:pPr>
    </w:p>
    <w:p>
      <w:pPr>
        <w:pStyle w:val="Heading1"/>
      </w:pPr>
      <w:r>
        <w:t>Table of Contents</w:t>
      </w:r>
    </w:p>
    <w:p>
      <w:pPr>
        <w:spacing w:after="40"/>
      </w:pPr>
      <w:r>
        <w:rPr>
          <w:rFonts w:ascii="Aptos" w:hAnsi="Aptos"/>
          <w:color w:val="122033"/>
          <w:sz w:val="23"/>
        </w:rPr>
        <w:t>1. Executive Summary</w:t>
      </w:r>
    </w:p>
    <w:p>
      <w:pPr>
        <w:spacing w:after="40"/>
      </w:pPr>
      <w:r>
        <w:rPr>
          <w:rFonts w:ascii="Aptos" w:hAnsi="Aptos"/>
          <w:color w:val="122033"/>
          <w:sz w:val="23"/>
        </w:rPr>
        <w:t>2. Roadmap Purpose, Scope and Conformance</w:t>
      </w:r>
    </w:p>
    <w:p>
      <w:pPr>
        <w:spacing w:after="40"/>
      </w:pPr>
      <w:r>
        <w:rPr>
          <w:rFonts w:ascii="Aptos" w:hAnsi="Aptos"/>
          <w:color w:val="122033"/>
          <w:sz w:val="23"/>
        </w:rPr>
        <w:t>3. Roadmap Structure and Sequencing</w:t>
      </w:r>
    </w:p>
    <w:p>
      <w:pPr>
        <w:spacing w:after="40"/>
      </w:pPr>
      <w:r>
        <w:rPr>
          <w:rFonts w:ascii="Aptos" w:hAnsi="Aptos"/>
          <w:color w:val="122033"/>
          <w:sz w:val="23"/>
        </w:rPr>
        <w:t>4. IB0 - Workspace and Architecture Governance Baseline</w:t>
      </w:r>
    </w:p>
    <w:p>
      <w:pPr>
        <w:spacing w:after="40"/>
      </w:pPr>
      <w:r>
        <w:rPr>
          <w:rFonts w:ascii="Aptos" w:hAnsi="Aptos"/>
          <w:color w:val="122033"/>
          <w:sz w:val="23"/>
        </w:rPr>
        <w:t>5. IB1 - Product-Neutral Contracts and Runtime Configuration</w:t>
      </w:r>
    </w:p>
    <w:p>
      <w:pPr>
        <w:spacing w:after="40"/>
      </w:pPr>
      <w:r>
        <w:rPr>
          <w:rFonts w:ascii="Aptos" w:hAnsi="Aptos"/>
          <w:color w:val="122033"/>
          <w:sz w:val="23"/>
        </w:rPr>
        <w:t>6. IB2 - Design Foundation, Core Components and UI Laboratory</w:t>
      </w:r>
    </w:p>
    <w:p>
      <w:pPr>
        <w:spacing w:after="40"/>
      </w:pPr>
      <w:r>
        <w:rPr>
          <w:rFonts w:ascii="Aptos" w:hAnsi="Aptos"/>
          <w:color w:val="122033"/>
          <w:sz w:val="23"/>
        </w:rPr>
        <w:t>7. Cross-Milestone Governance and Engineering Controls</w:t>
      </w:r>
    </w:p>
    <w:p>
      <w:pPr>
        <w:spacing w:after="40"/>
      </w:pPr>
      <w:r>
        <w:rPr>
          <w:rFonts w:ascii="Aptos" w:hAnsi="Aptos"/>
          <w:color w:val="122033"/>
          <w:sz w:val="23"/>
        </w:rPr>
        <w:t>8. Completion Baseline Before IB3</w:t>
      </w:r>
    </w:p>
    <w:p>
      <w:pPr>
        <w:spacing w:after="40"/>
      </w:pPr>
      <w:r>
        <w:rPr>
          <w:rFonts w:ascii="Aptos" w:hAnsi="Aptos"/>
          <w:color w:val="122033"/>
          <w:sz w:val="23"/>
        </w:rPr>
        <w:t>9. Handover to IB3</w:t>
      </w:r>
    </w:p>
    <w:p>
      <w:pPr>
        <w:spacing w:after="40"/>
      </w:pPr>
      <w:r>
        <w:rPr>
          <w:rFonts w:ascii="Aptos" w:hAnsi="Aptos"/>
          <w:color w:val="122033"/>
          <w:sz w:val="23"/>
        </w:rPr>
        <w:t>Appendix A. Developer Verification Commands</w:t>
      </w:r>
    </w:p>
    <w:p>
      <w:pPr>
        <w:spacing w:after="40"/>
      </w:pPr>
      <w:r>
        <w:rPr>
          <w:rFonts w:ascii="Aptos" w:hAnsi="Aptos"/>
          <w:color w:val="122033"/>
          <w:sz w:val="23"/>
        </w:rPr>
        <w:t>Appendix B. Milestone Evidence Register</w:t>
      </w:r>
    </w:p>
    <w:p>
      <w:pPr>
        <w:pStyle w:val="Heading1"/>
      </w:pPr>
      <w:r>
        <w:t>1. Executive Summary</w:t>
      </w:r>
    </w:p>
    <w:p>
      <w:r>
        <w:rPr>
          <w:rFonts w:ascii="Aptos" w:hAnsi="Aptos"/>
          <w:sz w:val="24"/>
        </w:rPr>
        <w:t>This roadmap converts the first three PAEP implementation milestones into a controlled execution sequence. IB0 establishes the governed Angular workspace and automated architecture controls. IB1 introduces product-neutral contracts and validated runtime configuration so the frontend can remain portable while ERPNext/Frappe stays the strategic backend. IB2 establishes the visual and interaction foundation through semantic design tokens, responsive rules, reusable components and the PAEP UI laboratory.</w:t>
      </w:r>
    </w:p>
    <w:p>
      <w:pPr>
        <w:pStyle w:val="BodyText"/>
        <w:spacing w:before="0" w:after="80"/>
      </w:pPr>
      <w:r>
        <w:rPr>
          <w:rFonts w:ascii="Aptos" w:hAnsi="Aptos"/>
          <w:b/>
          <w:sz w:val="24"/>
        </w:rPr>
        <w:t xml:space="preserve">(i) </w:t>
      </w:r>
      <w:r>
        <w:rPr>
          <w:rFonts w:ascii="Aptos" w:hAnsi="Aptos"/>
          <w:b/>
          <w:sz w:val="24"/>
        </w:rPr>
        <w:t xml:space="preserve">Architecture before screens. </w:t>
      </w:r>
      <w:r>
        <w:rPr>
          <w:rFonts w:ascii="Aptos" w:hAnsi="Aptos"/>
          <w:sz w:val="24"/>
        </w:rPr>
        <w:t>The first objective is to make architectural boundaries enforceable in source control and CI before product teams begin assembling rich screens.</w:t>
      </w:r>
    </w:p>
    <w:p>
      <w:pPr>
        <w:pStyle w:val="BodyText"/>
        <w:spacing w:before="0" w:after="80"/>
      </w:pPr>
      <w:r>
        <w:rPr>
          <w:rFonts w:ascii="Aptos" w:hAnsi="Aptos"/>
          <w:b/>
          <w:sz w:val="24"/>
        </w:rPr>
        <w:t xml:space="preserve">(ii) </w:t>
      </w:r>
      <w:r>
        <w:rPr>
          <w:rFonts w:ascii="Aptos" w:hAnsi="Aptos"/>
          <w:b/>
          <w:sz w:val="24"/>
        </w:rPr>
        <w:t xml:space="preserve">Contracts before backend coupling. </w:t>
      </w:r>
      <w:r>
        <w:rPr>
          <w:rFonts w:ascii="Aptos" w:hAnsi="Aptos"/>
          <w:sz w:val="24"/>
        </w:rPr>
        <w:t>The second objective is to ensure that UI packages depend on product-neutral contracts rather than Frappe implementation details.</w:t>
      </w:r>
    </w:p>
    <w:p>
      <w:pPr>
        <w:pStyle w:val="BodyText"/>
        <w:spacing w:before="0" w:after="80"/>
      </w:pPr>
      <w:r>
        <w:rPr>
          <w:rFonts w:ascii="Aptos" w:hAnsi="Aptos"/>
          <w:b/>
          <w:sz w:val="24"/>
        </w:rPr>
        <w:t xml:space="preserve">(iii) </w:t>
      </w:r>
      <w:r>
        <w:rPr>
          <w:rFonts w:ascii="Aptos" w:hAnsi="Aptos"/>
          <w:b/>
          <w:sz w:val="24"/>
        </w:rPr>
        <w:t xml:space="preserve">Foundation before enterprise shell. </w:t>
      </w:r>
      <w:r>
        <w:rPr>
          <w:rFonts w:ascii="Aptos" w:hAnsi="Aptos"/>
          <w:sz w:val="24"/>
        </w:rPr>
        <w:t>The third objective is to make accessibility, responsiveness, visual consistency and state completeness properties of reusable components before IB3 composes the enterprise shell.</w:t>
      </w:r>
    </w:p>
    <w:p>
      <w:pPr>
        <w:pStyle w:val="BodyText"/>
        <w:spacing w:before="0" w:after="80"/>
      </w:pPr>
      <w:r>
        <w:rPr>
          <w:rFonts w:ascii="Aptos" w:hAnsi="Aptos"/>
          <w:b/>
          <w:sz w:val="24"/>
        </w:rPr>
        <w:t xml:space="preserve">(iv) </w:t>
      </w:r>
      <w:r>
        <w:rPr>
          <w:rFonts w:ascii="Aptos" w:hAnsi="Aptos"/>
          <w:b/>
          <w:sz w:val="24"/>
        </w:rPr>
        <w:t xml:space="preserve">Evidence before milestone closure. </w:t>
      </w:r>
      <w:r>
        <w:rPr>
          <w:rFonts w:ascii="Aptos" w:hAnsi="Aptos"/>
          <w:sz w:val="24"/>
        </w:rPr>
        <w:t>Each milestone closes only when its defined evidence is retained and the next milestone can build on it without bypassing prior controls.</w:t>
      </w:r>
    </w:p>
    <w:p>
      <w:pPr>
        <w:spacing w:before="160" w:after="60"/>
        <w:jc w:val="center"/>
      </w:pPr>
      <w:r>
        <w:rPr>
          <w:rFonts w:ascii="Aptos" w:hAnsi="Aptos"/>
          <w:sz w:val="24"/>
        </w:rPr>
        <w:drawing>
          <wp:inline xmlns:a="http://schemas.openxmlformats.org/drawingml/2006/main" xmlns:pic="http://schemas.openxmlformats.org/drawingml/2006/picture">
            <wp:extent cx="5989320" cy="2387371"/>
            <wp:docPr id="2" name="Picture 2"/>
            <wp:cNvGraphicFramePr>
              <a:graphicFrameLocks noChangeAspect="1"/>
            </wp:cNvGraphicFramePr>
            <a:graphic>
              <a:graphicData uri="http://schemas.openxmlformats.org/drawingml/2006/picture">
                <pic:pic>
                  <pic:nvPicPr>
                    <pic:cNvPr id="0" name="fig1_roadmap.png"/>
                    <pic:cNvPicPr/>
                  </pic:nvPicPr>
                  <pic:blipFill>
                    <a:blip r:embed="rId12"/>
                    <a:stretch>
                      <a:fillRect/>
                    </a:stretch>
                  </pic:blipFill>
                  <pic:spPr>
                    <a:xfrm>
                      <a:off x="0" y="0"/>
                      <a:ext cx="5989320" cy="2387371"/>
                    </a:xfrm>
                    <a:prstGeom prst="rect"/>
                  </pic:spPr>
                </pic:pic>
              </a:graphicData>
            </a:graphic>
          </wp:inline>
        </w:drawing>
      </w:r>
    </w:p>
    <w:p>
      <w:pPr>
        <w:spacing w:after="160"/>
        <w:jc w:val="center"/>
      </w:pPr>
      <w:r>
        <w:rPr>
          <w:rFonts w:ascii="Aptos" w:hAnsi="Aptos"/>
          <w:i/>
          <w:color w:val="667085"/>
          <w:sz w:val="19"/>
        </w:rPr>
        <w:t>Figure 1. PAEP IB0–IB2 implementation sequence and architectural intent.</w:t>
      </w:r>
    </w:p>
    <w:tbl>
      <w:tblPr>
        <w:tblW w:type="auto" w:w="0"/>
        <w:jc w:val="center"/>
        <w:tblLayout w:type="fixed"/>
        <w:tblLook w:firstColumn="1" w:firstRow="1" w:lastColumn="0" w:lastRow="0" w:noHBand="0" w:noVBand="1" w:val="04A0"/>
      </w:tblPr>
      <w:tblGrid>
        <w:gridCol w:w="9576"/>
      </w:tblGrid>
      <w:tr>
        <w:tc>
          <w:tcPr>
            <w:tcW w:type="dxa" w:w="10166"/>
            <w:shd w:fill="EEF3F8"/>
            <w:tcBorders>
              <w:top w:val="single" w:sz="12" w:color="0E2E53"/>
              <w:left w:val="single" w:sz="12" w:color="0E2E53"/>
              <w:bottom w:val="single" w:sz="8" w:color="0E2E53"/>
              <w:right w:val="single" w:sz="8" w:color="0E2E53"/>
            </w:tcBorders>
          </w:tcPr>
          <w:p>
            <w:pPr>
              <w:spacing w:before="80" w:after="80"/>
            </w:pPr>
            <w:r>
              <w:rPr>
                <w:rFonts w:ascii="Aptos" w:hAnsi="Aptos"/>
                <w:b/>
                <w:color w:val="0E2E53"/>
                <w:sz w:val="21"/>
              </w:rPr>
              <w:t>ROADMAP OUTCOME</w:t>
              <w:br/>
            </w:r>
            <w:r>
              <w:rPr>
                <w:rFonts w:ascii="Aptos" w:hAnsi="Aptos"/>
                <w:color w:val="122033"/>
                <w:sz w:val="23"/>
              </w:rPr>
              <w:t>At the end of IB2, PAEP shall exist as an enforceable engineering platform kernel: a reproducible workspace, independently compiling product-neutral contracts, validated runtime configuration, semantic design foundations, initial reusable components, a running UI laboratory and evidence-backed architecture gates.</w:t>
            </w:r>
          </w:p>
        </w:tc>
      </w:tr>
    </w:tbl>
    <w:p>
      <w:pPr>
        <w:spacing w:after="0"/>
      </w:pPr>
    </w:p>
    <w:p>
      <w:pPr>
        <w:pStyle w:val="Heading1"/>
      </w:pPr>
      <w:r>
        <w:t>2. Roadmap Purpose, Scope and Conformance</w:t>
      </w:r>
    </w:p>
    <w:p>
      <w:pPr>
        <w:pStyle w:val="Heading2"/>
      </w:pPr>
      <w:r>
        <w:t>2.1 Purpose</w:t>
      </w:r>
    </w:p>
    <w:p>
      <w:r>
        <w:rPr>
          <w:rFonts w:ascii="Aptos" w:hAnsi="Aptos"/>
          <w:sz w:val="24"/>
        </w:rPr>
        <w:t>The purpose of PAEP-IR-01 is to give the platform team an implementation road that is specific enough to execute, review and accept IB0–IB2 without re-deciding the architecture during delivery. It does not replace PAEP v1.1 or PAEP-IB-01; it turns their first implementation decisions into sequenced engineering work and evidence gates.</w:t>
      </w:r>
    </w:p>
    <w:p>
      <w:pPr>
        <w:pStyle w:val="Heading2"/>
      </w:pPr>
      <w:r>
        <w:t>2.2 In Scope</w:t>
      </w:r>
    </w:p>
    <w:p>
      <w:pPr>
        <w:pStyle w:val="BodyText"/>
        <w:spacing w:before="0" w:after="80"/>
      </w:pPr>
      <w:r>
        <w:rPr>
          <w:rFonts w:ascii="Aptos" w:hAnsi="Aptos"/>
          <w:b/>
          <w:sz w:val="24"/>
        </w:rPr>
        <w:t xml:space="preserve">(i) </w:t>
      </w:r>
      <w:r>
        <w:rPr>
          <w:rFonts w:ascii="Aptos" w:hAnsi="Aptos"/>
          <w:sz w:val="24"/>
        </w:rPr>
        <w:t>Creation and governance of the PAEP Angular workspace, shared package layout, reference applications and tooling areas.</w:t>
      </w:r>
    </w:p>
    <w:p>
      <w:pPr>
        <w:pStyle w:val="BodyText"/>
        <w:spacing w:before="0" w:after="80"/>
      </w:pPr>
      <w:r>
        <w:rPr>
          <w:rFonts w:ascii="Aptos" w:hAnsi="Aptos"/>
          <w:b/>
          <w:sz w:val="24"/>
        </w:rPr>
        <w:t xml:space="preserve">(ii) </w:t>
      </w:r>
      <w:r>
        <w:rPr>
          <w:rFonts w:ascii="Aptos" w:hAnsi="Aptos"/>
          <w:sz w:val="24"/>
        </w:rPr>
        <w:t>Automated enforcement of package dependency direction, public entry points, circular-dependency restrictions and clean-build reproducibility.</w:t>
      </w:r>
    </w:p>
    <w:p>
      <w:pPr>
        <w:pStyle w:val="BodyText"/>
        <w:spacing w:before="0" w:after="80"/>
      </w:pPr>
      <w:r>
        <w:rPr>
          <w:rFonts w:ascii="Aptos" w:hAnsi="Aptos"/>
          <w:b/>
          <w:sz w:val="24"/>
        </w:rPr>
        <w:t xml:space="preserve">(iii) </w:t>
      </w:r>
      <w:r>
        <w:rPr>
          <w:rFonts w:ascii="Aptos" w:hAnsi="Aptos"/>
          <w:sz w:val="24"/>
        </w:rPr>
        <w:t>Implementation of framework-neutral contracts for configuration, common errors, identity/domain concerns, reporting and adapter boundaries.</w:t>
      </w:r>
    </w:p>
    <w:p>
      <w:pPr>
        <w:pStyle w:val="BodyText"/>
        <w:spacing w:before="0" w:after="80"/>
      </w:pPr>
      <w:r>
        <w:rPr>
          <w:rFonts w:ascii="Aptos" w:hAnsi="Aptos"/>
          <w:b/>
          <w:sz w:val="24"/>
        </w:rPr>
        <w:t xml:space="preserve">(iv) </w:t>
      </w:r>
      <w:r>
        <w:rPr>
          <w:rFonts w:ascii="Aptos" w:hAnsi="Aptos"/>
          <w:sz w:val="24"/>
        </w:rPr>
        <w:t>Implementation of versioned runtime configuration, startup validation, compatibility checks and fail-safe application bootstrap.</w:t>
      </w:r>
    </w:p>
    <w:p>
      <w:pPr>
        <w:pStyle w:val="BodyText"/>
        <w:spacing w:before="0" w:after="80"/>
      </w:pPr>
      <w:r>
        <w:rPr>
          <w:rFonts w:ascii="Aptos" w:hAnsi="Aptos"/>
          <w:b/>
          <w:sz w:val="24"/>
        </w:rPr>
        <w:t xml:space="preserve">(v) </w:t>
      </w:r>
      <w:r>
        <w:rPr>
          <w:rFonts w:ascii="Aptos" w:hAnsi="Aptos"/>
          <w:sz w:val="24"/>
        </w:rPr>
        <w:t>Implementation of semantic design tokens, responsive layout rules, initial reusable components and the PAEP UI laboratory.</w:t>
      </w:r>
    </w:p>
    <w:p>
      <w:pPr>
        <w:pStyle w:val="BodyText"/>
        <w:spacing w:before="0" w:after="80"/>
      </w:pPr>
      <w:r>
        <w:rPr>
          <w:rFonts w:ascii="Aptos" w:hAnsi="Aptos"/>
          <w:b/>
          <w:sz w:val="24"/>
        </w:rPr>
        <w:t xml:space="preserve">(vi) </w:t>
      </w:r>
      <w:r>
        <w:rPr>
          <w:rFonts w:ascii="Aptos" w:hAnsi="Aptos"/>
          <w:sz w:val="24"/>
        </w:rPr>
        <w:t>Accessibility, responsive, visual, security, provenance and test evidence required for IB0–IB2 acceptance.</w:t>
      </w:r>
    </w:p>
    <w:p>
      <w:pPr>
        <w:pStyle w:val="Heading2"/>
      </w:pPr>
      <w:r>
        <w:t>2.3 Explicit Non-goals</w:t>
      </w:r>
    </w:p>
    <w:p>
      <w:pPr>
        <w:pStyle w:val="BodyText"/>
        <w:spacing w:before="0" w:after="80"/>
      </w:pPr>
      <w:r>
        <w:rPr>
          <w:rFonts w:ascii="Aptos" w:hAnsi="Aptos"/>
          <w:b/>
          <w:sz w:val="24"/>
        </w:rPr>
        <w:t xml:space="preserve">(i) </w:t>
      </w:r>
      <w:r>
        <w:rPr>
          <w:rFonts w:ascii="Aptos" w:hAnsi="Aptos"/>
          <w:sz w:val="24"/>
        </w:rPr>
        <w:t>IB0–IB2 do not implement the production enterprise shell, which begins in IB3.</w:t>
      </w:r>
    </w:p>
    <w:p>
      <w:pPr>
        <w:pStyle w:val="BodyText"/>
        <w:spacing w:before="0" w:after="80"/>
      </w:pPr>
      <w:r>
        <w:rPr>
          <w:rFonts w:ascii="Aptos" w:hAnsi="Aptos"/>
          <w:b/>
          <w:sz w:val="24"/>
        </w:rPr>
        <w:t xml:space="preserve">(ii) </w:t>
      </w:r>
      <w:r>
        <w:rPr>
          <w:rFonts w:ascii="Aptos" w:hAnsi="Aptos"/>
          <w:sz w:val="24"/>
        </w:rPr>
        <w:t>IB0–IB2 do not connect the platform directly to arbitrary ERPNext/Frappe DocTypes; the Frappe adapter implementation is a later milestone and remains behind PAEP contracts.</w:t>
      </w:r>
    </w:p>
    <w:p>
      <w:pPr>
        <w:pStyle w:val="BodyText"/>
        <w:spacing w:before="0" w:after="80"/>
      </w:pPr>
      <w:r>
        <w:rPr>
          <w:rFonts w:ascii="Aptos" w:hAnsi="Aptos"/>
          <w:b/>
          <w:sz w:val="24"/>
        </w:rPr>
        <w:t xml:space="preserve">(iii) </w:t>
      </w:r>
      <w:r>
        <w:rPr>
          <w:rFonts w:ascii="Aptos" w:hAnsi="Aptos"/>
          <w:sz w:val="24"/>
        </w:rPr>
        <w:t>IB0–IB2 do not deliver the full Power BI-class dashboard workspace; they define and compile the reporting contracts required for later analytics implementation.</w:t>
      </w:r>
    </w:p>
    <w:p>
      <w:pPr>
        <w:pStyle w:val="BodyText"/>
        <w:spacing w:before="0" w:after="80"/>
      </w:pPr>
      <w:r>
        <w:rPr>
          <w:rFonts w:ascii="Aptos" w:hAnsi="Aptos"/>
          <w:b/>
          <w:sz w:val="24"/>
        </w:rPr>
        <w:t xml:space="preserve">(iv) </w:t>
      </w:r>
      <w:r>
        <w:rPr>
          <w:rFonts w:ascii="Aptos" w:hAnsi="Aptos"/>
          <w:sz w:val="24"/>
        </w:rPr>
        <w:t>IB0–IB2 do not implement the offline command queue, private-deployment identity integrations or product-specific domain workflows.</w:t>
      </w:r>
    </w:p>
    <w:p>
      <w:pPr>
        <w:pStyle w:val="BodyText"/>
        <w:spacing w:before="0" w:after="80"/>
      </w:pPr>
      <w:r>
        <w:rPr>
          <w:rFonts w:ascii="Aptos" w:hAnsi="Aptos"/>
          <w:b/>
          <w:sz w:val="24"/>
        </w:rPr>
        <w:t xml:space="preserve">(v) </w:t>
      </w:r>
      <w:r>
        <w:rPr>
          <w:rFonts w:ascii="Aptos" w:hAnsi="Aptos"/>
          <w:sz w:val="24"/>
        </w:rPr>
        <w:t>IB0–IB2 do not permit product teams to fork shared foundation or component code to accelerate local delivery.</w:t>
      </w:r>
    </w:p>
    <w:p>
      <w:pPr>
        <w:pStyle w:val="Heading1"/>
      </w:pPr>
      <w:r>
        <w:t>3. Roadmap Structure and Sequencing</w:t>
      </w:r>
    </w:p>
    <w:p>
      <w:r>
        <w:rPr>
          <w:rFonts w:ascii="Aptos" w:hAnsi="Aptos"/>
          <w:sz w:val="24"/>
        </w:rPr>
        <w:t>The sequence is intentionally dependency-driven. IB0 creates the engineering environment and enforcement mechanisms. IB1 introduces stable abstractions and validated configuration inside that environment. IB2 then builds reusable visual and interaction primitives on top of those governed foundations. A later milestone may depend on an earlier one, but it shall not bypass its exit gate.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shd w:fill="0E2E53"/>
            <w:vAlign w:val="center"/>
          </w:tcPr>
          <w:p>
            <w:pPr>
              <w:jc w:val="left"/>
            </w:pPr>
            <w:r>
              <w:rPr>
                <w:rFonts w:ascii="Aptos" w:hAnsi="Aptos"/>
                <w:b/>
                <w:color w:val="FFFFFF"/>
                <w:sz w:val="19"/>
              </w:rPr>
              <w:t>Milestone</w:t>
            </w:r>
          </w:p>
        </w:tc>
        <w:tc>
          <w:tcPr>
            <w:tcW w:type="dxa" w:w="2736"/>
            <w:shd w:fill="0E2E53"/>
            <w:vAlign w:val="center"/>
          </w:tcPr>
          <w:p>
            <w:pPr>
              <w:jc w:val="left"/>
            </w:pPr>
            <w:r>
              <w:rPr>
                <w:rFonts w:ascii="Aptos" w:hAnsi="Aptos"/>
                <w:b/>
                <w:color w:val="FFFFFF"/>
                <w:sz w:val="19"/>
              </w:rPr>
              <w:t>Primary question</w:t>
            </w:r>
          </w:p>
        </w:tc>
        <w:tc>
          <w:tcPr>
            <w:tcW w:type="dxa" w:w="3384"/>
            <w:shd w:fill="0E2E53"/>
            <w:vAlign w:val="center"/>
          </w:tcPr>
          <w:p>
            <w:pPr>
              <w:jc w:val="left"/>
            </w:pPr>
            <w:r>
              <w:rPr>
                <w:rFonts w:ascii="Aptos" w:hAnsi="Aptos"/>
                <w:b/>
                <w:color w:val="FFFFFF"/>
                <w:sz w:val="19"/>
              </w:rPr>
              <w:t>Required outcome</w:t>
            </w:r>
          </w:p>
        </w:tc>
        <w:tc>
          <w:tcPr>
            <w:tcW w:type="dxa" w:w="1872"/>
            <w:shd w:fill="0E2E53"/>
            <w:vAlign w:val="center"/>
          </w:tcPr>
          <w:p>
            <w:pPr>
              <w:jc w:val="left"/>
            </w:pPr>
            <w:r>
              <w:rPr>
                <w:rFonts w:ascii="Aptos" w:hAnsi="Aptos"/>
                <w:b/>
                <w:color w:val="FFFFFF"/>
                <w:sz w:val="19"/>
              </w:rPr>
              <w:t>Exit gate</w:t>
            </w:r>
          </w:p>
        </w:tc>
      </w:tr>
      <w:tr>
        <w:tc>
          <w:tcPr>
            <w:tcW w:type="dxa" w:w="1944"/>
            <w:vAlign w:val="top"/>
          </w:tcPr>
          <w:p>
            <w:pPr>
              <w:spacing w:after="20"/>
            </w:pPr>
            <w:r>
              <w:rPr>
                <w:rFonts w:ascii="Aptos" w:hAnsi="Aptos"/>
                <w:color w:val="122033"/>
                <w:sz w:val="19"/>
              </w:rPr>
              <w:t>IB0 - Workspace &amp; Governance</w:t>
            </w:r>
          </w:p>
        </w:tc>
        <w:tc>
          <w:tcPr>
            <w:tcW w:type="dxa" w:w="2736"/>
            <w:vAlign w:val="top"/>
          </w:tcPr>
          <w:p>
            <w:pPr>
              <w:spacing w:after="20"/>
            </w:pPr>
            <w:r>
              <w:rPr>
                <w:rFonts w:ascii="Aptos" w:hAnsi="Aptos"/>
                <w:color w:val="122033"/>
                <w:sz w:val="19"/>
              </w:rPr>
              <w:t>Can developers work in a governed Angular platform without violating architecture boundaries?</w:t>
            </w:r>
          </w:p>
        </w:tc>
        <w:tc>
          <w:tcPr>
            <w:tcW w:type="dxa" w:w="3384"/>
            <w:vAlign w:val="top"/>
          </w:tcPr>
          <w:p>
            <w:pPr>
              <w:spacing w:after="20"/>
            </w:pPr>
            <w:r>
              <w:rPr>
                <w:rFonts w:ascii="Aptos" w:hAnsi="Aptos"/>
                <w:color w:val="122033"/>
                <w:sz w:val="19"/>
              </w:rPr>
              <w:t>Reproducible workspace, package topology, CI and boundary enforcement.</w:t>
            </w:r>
          </w:p>
        </w:tc>
        <w:tc>
          <w:tcPr>
            <w:tcW w:type="dxa" w:w="1872"/>
            <w:vAlign w:val="top"/>
          </w:tcPr>
          <w:p>
            <w:pPr>
              <w:spacing w:after="20"/>
            </w:pPr>
            <w:r>
              <w:rPr>
                <w:rFonts w:ascii="Aptos" w:hAnsi="Aptos"/>
                <w:color w:val="122033"/>
                <w:sz w:val="19"/>
              </w:rPr>
              <w:t>Clean build; boundary tests pass; deterministic install.</w:t>
            </w:r>
          </w:p>
        </w:tc>
      </w:tr>
      <w:tr>
        <w:tc>
          <w:tcPr>
            <w:tcW w:type="dxa" w:w="1944"/>
            <w:vAlign w:val="top"/>
            <w:shd w:fill="F8FAFC"/>
          </w:tcPr>
          <w:p>
            <w:pPr>
              <w:spacing w:after="20"/>
            </w:pPr>
            <w:r>
              <w:rPr>
                <w:rFonts w:ascii="Aptos" w:hAnsi="Aptos"/>
                <w:color w:val="122033"/>
                <w:sz w:val="19"/>
              </w:rPr>
              <w:t>IB1 - Contracts &amp; Configuration</w:t>
            </w:r>
          </w:p>
        </w:tc>
        <w:tc>
          <w:tcPr>
            <w:tcW w:type="dxa" w:w="2736"/>
            <w:vAlign w:val="top"/>
            <w:shd w:fill="F8FAFC"/>
          </w:tcPr>
          <w:p>
            <w:pPr>
              <w:spacing w:after="20"/>
            </w:pPr>
            <w:r>
              <w:rPr>
                <w:rFonts w:ascii="Aptos" w:hAnsi="Aptos"/>
                <w:color w:val="122033"/>
                <w:sz w:val="19"/>
              </w:rPr>
              <w:t>Can the frontend describe capabilities without knowing Frappe or deployment internals?</w:t>
            </w:r>
          </w:p>
        </w:tc>
        <w:tc>
          <w:tcPr>
            <w:tcW w:type="dxa" w:w="3384"/>
            <w:vAlign w:val="top"/>
            <w:shd w:fill="F8FAFC"/>
          </w:tcPr>
          <w:p>
            <w:pPr>
              <w:spacing w:after="20"/>
            </w:pPr>
            <w:r>
              <w:rPr>
                <w:rFonts w:ascii="Aptos" w:hAnsi="Aptos"/>
                <w:color w:val="122033"/>
                <w:sz w:val="19"/>
              </w:rPr>
              <w:t>Framework-neutral contracts, reporting interfaces, versioned runtime schema and safe bootstrap.</w:t>
            </w:r>
          </w:p>
        </w:tc>
        <w:tc>
          <w:tcPr>
            <w:tcW w:type="dxa" w:w="1872"/>
            <w:vAlign w:val="top"/>
            <w:shd w:fill="F8FAFC"/>
          </w:tcPr>
          <w:p>
            <w:pPr>
              <w:spacing w:after="20"/>
            </w:pPr>
            <w:r>
              <w:rPr>
                <w:rFonts w:ascii="Aptos" w:hAnsi="Aptos"/>
                <w:color w:val="122033"/>
                <w:sz w:val="19"/>
              </w:rPr>
              <w:t>Contracts compile independently; valid config boots; invalid config fails closed.</w:t>
            </w:r>
          </w:p>
        </w:tc>
      </w:tr>
      <w:tr>
        <w:tc>
          <w:tcPr>
            <w:tcW w:type="dxa" w:w="1944"/>
            <w:vAlign w:val="top"/>
          </w:tcPr>
          <w:p>
            <w:pPr>
              <w:spacing w:after="20"/>
            </w:pPr>
            <w:r>
              <w:rPr>
                <w:rFonts w:ascii="Aptos" w:hAnsi="Aptos"/>
                <w:color w:val="122033"/>
                <w:sz w:val="19"/>
              </w:rPr>
              <w:t>IB2 - Foundation &amp; Components</w:t>
            </w:r>
          </w:p>
        </w:tc>
        <w:tc>
          <w:tcPr>
            <w:tcW w:type="dxa" w:w="2736"/>
            <w:vAlign w:val="top"/>
          </w:tcPr>
          <w:p>
            <w:pPr>
              <w:spacing w:after="20"/>
            </w:pPr>
            <w:r>
              <w:rPr>
                <w:rFonts w:ascii="Aptos" w:hAnsi="Aptos"/>
                <w:color w:val="122033"/>
                <w:sz w:val="19"/>
              </w:rPr>
              <w:t>Can teams build accessible, responsive and consistent enterprise UI without product-specific duplication?</w:t>
            </w:r>
          </w:p>
        </w:tc>
        <w:tc>
          <w:tcPr>
            <w:tcW w:type="dxa" w:w="3384"/>
            <w:vAlign w:val="top"/>
          </w:tcPr>
          <w:p>
            <w:pPr>
              <w:spacing w:after="20"/>
            </w:pPr>
            <w:r>
              <w:rPr>
                <w:rFonts w:ascii="Aptos" w:hAnsi="Aptos"/>
                <w:color w:val="122033"/>
                <w:sz w:val="19"/>
              </w:rPr>
              <w:t>Semantic tokens, responsive foundations, initial component set and UI laboratory.</w:t>
            </w:r>
          </w:p>
        </w:tc>
        <w:tc>
          <w:tcPr>
            <w:tcW w:type="dxa" w:w="1872"/>
            <w:vAlign w:val="top"/>
          </w:tcPr>
          <w:p>
            <w:pPr>
              <w:spacing w:after="20"/>
            </w:pPr>
            <w:r>
              <w:rPr>
                <w:rFonts w:ascii="Aptos" w:hAnsi="Aptos"/>
                <w:color w:val="122033"/>
                <w:sz w:val="19"/>
              </w:rPr>
              <w:t>Component, a11y, responsive and visual-regression evidence passes.</w:t>
            </w:r>
          </w:p>
        </w:tc>
      </w:tr>
    </w:tbl>
    <w:p>
      <w:pPr>
        <w:spacing w:after="40"/>
      </w:pPr>
    </w:p>
    <w:p>
      <w:pPr>
        <w:pStyle w:val="BodyText"/>
        <w:spacing w:before="0" w:after="80"/>
      </w:pPr>
      <w:r>
        <w:rPr>
          <w:rFonts w:ascii="Aptos" w:hAnsi="Aptos"/>
          <w:b/>
          <w:sz w:val="24"/>
        </w:rPr>
        <w:t xml:space="preserve">(i) </w:t>
      </w:r>
      <w:r>
        <w:rPr>
          <w:rFonts w:ascii="Aptos" w:hAnsi="Aptos"/>
          <w:sz w:val="24"/>
        </w:rPr>
        <w:t>No product-specific screen shall be used to justify bypassing package boundaries established in IB0.</w:t>
      </w:r>
    </w:p>
    <w:p>
      <w:pPr>
        <w:pStyle w:val="BodyText"/>
        <w:spacing w:before="0" w:after="80"/>
      </w:pPr>
      <w:r>
        <w:rPr>
          <w:rFonts w:ascii="Aptos" w:hAnsi="Aptos"/>
          <w:b/>
          <w:sz w:val="24"/>
        </w:rPr>
        <w:t xml:space="preserve">(ii) </w:t>
      </w:r>
      <w:r>
        <w:rPr>
          <w:rFonts w:ascii="Aptos" w:hAnsi="Aptos"/>
          <w:sz w:val="24"/>
        </w:rPr>
        <w:t>No UI component shall import Frappe implementation types if the capability can be expressed through PAEP contracts established in IB1.</w:t>
      </w:r>
    </w:p>
    <w:p>
      <w:pPr>
        <w:pStyle w:val="BodyText"/>
        <w:spacing w:before="0" w:after="80"/>
      </w:pPr>
      <w:r>
        <w:rPr>
          <w:rFonts w:ascii="Aptos" w:hAnsi="Aptos"/>
          <w:b/>
          <w:sz w:val="24"/>
        </w:rPr>
        <w:t xml:space="preserve">(iii) </w:t>
      </w:r>
      <w:r>
        <w:rPr>
          <w:rFonts w:ascii="Aptos" w:hAnsi="Aptos"/>
          <w:sz w:val="24"/>
        </w:rPr>
        <w:t>No IB2 component shall be accepted on visual appearance alone; states, accessibility, responsive behaviour, documentation and retained test evidence are part of its definition of done.</w:t>
      </w:r>
    </w:p>
    <w:p>
      <w:pPr>
        <w:pStyle w:val="BodyText"/>
        <w:spacing w:before="0" w:after="80"/>
      </w:pPr>
      <w:r>
        <w:rPr>
          <w:rFonts w:ascii="Aptos" w:hAnsi="Aptos"/>
          <w:b/>
          <w:sz w:val="24"/>
        </w:rPr>
        <w:t xml:space="preserve">(iv) </w:t>
      </w:r>
      <w:r>
        <w:rPr>
          <w:rFonts w:ascii="Aptos" w:hAnsi="Aptos"/>
          <w:sz w:val="24"/>
        </w:rPr>
        <w:t>Where a later discovery requires changing a parent architecture decision, the change shall be handled through architecture governance rather than hidden inside the roadmap implementation.</w:t>
      </w:r>
    </w:p>
    <w:p>
      <w:pPr>
        <w:pStyle w:val="Heading1"/>
      </w:pPr>
      <w:r>
        <w:t>4. IB0 - Workspace and Architecture Governance Baseline</w:t>
      </w:r>
    </w:p>
    <w:p>
      <w:pPr>
        <w:pStyle w:val="Heading2"/>
      </w:pPr>
      <w:r>
        <w:t>4.1 Objective</w:t>
      </w:r>
    </w:p>
    <w:p>
      <w:r>
        <w:rPr>
          <w:rFonts w:ascii="Aptos" w:hAnsi="Aptos"/>
          <w:sz w:val="24"/>
        </w:rPr>
        <w:t>IB0 establishes the physical PAEP repository, toolchain boundaries and automated controls that make the architecture enforceable from the first commit. Its purpose is not feature delivery. Its purpose is to ensure that every later feature is built inside a reproducible, governed platform structure.</w:t>
      </w:r>
    </w:p>
    <w:p>
      <w:pPr>
        <w:pStyle w:val="Heading2"/>
      </w:pPr>
      <w:r>
        <w:t>4.2 Target Repository Baseline</w:t>
      </w:r>
    </w:p>
    <w:p>
      <w:pPr>
        <w:spacing w:before="120" w:after="60"/>
      </w:pPr>
      <w:r>
        <w:rPr>
          <w:rFonts w:ascii="Aptos" w:hAnsi="Aptos"/>
          <w:b/>
          <w:color w:val="0E2E53"/>
          <w:sz w:val="20"/>
        </w:rPr>
        <w:t>Code Block 1. Target PAEP repository topology for IB0.</w:t>
      </w:r>
    </w:p>
    <w:tbl>
      <w:tblPr>
        <w:tblW w:type="auto" w:w="0"/>
        <w:jc w:val="center"/>
        <w:tblLayout w:type="fixed"/>
        <w:tblLook w:firstColumn="1" w:firstRow="1" w:lastColumn="0" w:lastRow="0" w:noHBand="0" w:noVBand="1" w:val="04A0"/>
      </w:tblPr>
      <w:tblGrid>
        <w:gridCol w:w="9576"/>
      </w:tblGrid>
      <w:tr>
        <w:tc>
          <w:tcPr>
            <w:tcW w:type="dxa" w:w="10166"/>
            <w:shd w:fill="F5F7FA"/>
            <w:tcBorders>
              <w:top w:val="single" w:sz="8" w:color="CBD5E1"/>
              <w:left w:val="single" w:sz="8" w:color="CBD5E1"/>
              <w:bottom w:val="single" w:sz="8" w:color="CBD5E1"/>
              <w:right w:val="single" w:sz="8" w:color="CBD5E1"/>
            </w:tcBorders>
            <w:vAlign w:val="center"/>
          </w:tcPr>
          <w:p>
            <w:pPr>
              <w:spacing w:before="100" w:after="100"/>
            </w:pPr>
            <w:r>
              <w:rPr>
                <w:rFonts w:ascii="Consolas" w:hAnsi="Consolas"/>
                <w:color w:val="263238"/>
                <w:sz w:val="18"/>
              </w:rPr>
              <w:t>paep/</w:t>
            </w:r>
            <w:r>
              <w:br/>
            </w:r>
            <w:r>
              <w:rPr>
                <w:rFonts w:ascii="Consolas" w:hAnsi="Consolas"/>
                <w:color w:val="263238"/>
                <w:sz w:val="18"/>
              </w:rPr>
              <w:t>├── apps/</w:t>
            </w:r>
            <w:r>
              <w:br/>
            </w:r>
            <w:r>
              <w:rPr>
                <w:rFonts w:ascii="Consolas" w:hAnsi="Consolas"/>
                <w:color w:val="263238"/>
                <w:sz w:val="18"/>
              </w:rPr>
              <w:t>│   ├── reference-app/</w:t>
            </w:r>
            <w:r>
              <w:br/>
            </w:r>
            <w:r>
              <w:rPr>
                <w:rFonts w:ascii="Consolas" w:hAnsi="Consolas"/>
                <w:color w:val="263238"/>
                <w:sz w:val="18"/>
              </w:rPr>
              <w:t>│   └── ui-lab/</w:t>
            </w:r>
            <w:r>
              <w:br/>
            </w:r>
            <w:r>
              <w:rPr>
                <w:rFonts w:ascii="Consolas" w:hAnsi="Consolas"/>
                <w:color w:val="263238"/>
                <w:sz w:val="18"/>
              </w:rPr>
              <w:t>├── packages/</w:t>
            </w:r>
            <w:r>
              <w:br/>
            </w:r>
            <w:r>
              <w:rPr>
                <w:rFonts w:ascii="Consolas" w:hAnsi="Consolas"/>
                <w:color w:val="263238"/>
                <w:sz w:val="18"/>
              </w:rPr>
              <w:t>│   ├── contracts/</w:t>
            </w:r>
            <w:r>
              <w:br/>
            </w:r>
            <w:r>
              <w:rPr>
                <w:rFonts w:ascii="Consolas" w:hAnsi="Consolas"/>
                <w:color w:val="263238"/>
                <w:sz w:val="18"/>
              </w:rPr>
              <w:t>│   ├── foundation/</w:t>
            </w:r>
            <w:r>
              <w:br/>
            </w:r>
            <w:r>
              <w:rPr>
                <w:rFonts w:ascii="Consolas" w:hAnsi="Consolas"/>
                <w:color w:val="263238"/>
                <w:sz w:val="18"/>
              </w:rPr>
              <w:t>│   ├── components/</w:t>
            </w:r>
            <w:r>
              <w:br/>
            </w:r>
            <w:r>
              <w:rPr>
                <w:rFonts w:ascii="Consolas" w:hAnsi="Consolas"/>
                <w:color w:val="263238"/>
                <w:sz w:val="18"/>
              </w:rPr>
              <w:t>│   ├── platform/</w:t>
            </w:r>
            <w:r>
              <w:br/>
            </w:r>
            <w:r>
              <w:rPr>
                <w:rFonts w:ascii="Consolas" w:hAnsi="Consolas"/>
                <w:color w:val="263238"/>
                <w:sz w:val="18"/>
              </w:rPr>
              <w:t>│   ├── enterprise/</w:t>
            </w:r>
            <w:r>
              <w:br/>
            </w:r>
            <w:r>
              <w:rPr>
                <w:rFonts w:ascii="Consolas" w:hAnsi="Consolas"/>
                <w:color w:val="263238"/>
                <w:sz w:val="18"/>
              </w:rPr>
              <w:t>│   ├── analytics/</w:t>
            </w:r>
            <w:r>
              <w:br/>
            </w:r>
            <w:r>
              <w:rPr>
                <w:rFonts w:ascii="Consolas" w:hAnsi="Consolas"/>
                <w:color w:val="263238"/>
                <w:sz w:val="18"/>
              </w:rPr>
              <w:t>│   ├── offline/</w:t>
            </w:r>
            <w:r>
              <w:br/>
            </w:r>
            <w:r>
              <w:rPr>
                <w:rFonts w:ascii="Consolas" w:hAnsi="Consolas"/>
                <w:color w:val="263238"/>
                <w:sz w:val="18"/>
              </w:rPr>
              <w:t>│   ├── i18n/</w:t>
            </w:r>
            <w:r>
              <w:br/>
            </w:r>
            <w:r>
              <w:rPr>
                <w:rFonts w:ascii="Consolas" w:hAnsi="Consolas"/>
                <w:color w:val="263238"/>
                <w:sz w:val="18"/>
              </w:rPr>
              <w:t>│   ├── observability/</w:t>
            </w:r>
            <w:r>
              <w:br/>
            </w:r>
            <w:r>
              <w:rPr>
                <w:rFonts w:ascii="Consolas" w:hAnsi="Consolas"/>
                <w:color w:val="263238"/>
                <w:sz w:val="18"/>
              </w:rPr>
              <w:t>│   ├── frappe-sdk/</w:t>
            </w:r>
            <w:r>
              <w:br/>
            </w:r>
            <w:r>
              <w:rPr>
                <w:rFonts w:ascii="Consolas" w:hAnsi="Consolas"/>
                <w:color w:val="263238"/>
                <w:sz w:val="18"/>
              </w:rPr>
              <w:t>│   └── domain-*/</w:t>
            </w:r>
            <w:r>
              <w:br/>
            </w:r>
            <w:r>
              <w:rPr>
                <w:rFonts w:ascii="Consolas" w:hAnsi="Consolas"/>
                <w:color w:val="263238"/>
                <w:sz w:val="18"/>
              </w:rPr>
              <w:t>├── tooling/</w:t>
            </w:r>
            <w:r>
              <w:br/>
            </w:r>
            <w:r>
              <w:rPr>
                <w:rFonts w:ascii="Consolas" w:hAnsi="Consolas"/>
                <w:color w:val="263238"/>
                <w:sz w:val="18"/>
              </w:rPr>
              <w:t>│   ├── architecture-boundaries/</w:t>
            </w:r>
            <w:r>
              <w:br/>
            </w:r>
            <w:r>
              <w:rPr>
                <w:rFonts w:ascii="Consolas" w:hAnsi="Consolas"/>
                <w:color w:val="263238"/>
                <w:sz w:val="18"/>
              </w:rPr>
              <w:t>│   ├── config-validation/</w:t>
            </w:r>
            <w:r>
              <w:br/>
            </w:r>
            <w:r>
              <w:rPr>
                <w:rFonts w:ascii="Consolas" w:hAnsi="Consolas"/>
                <w:color w:val="263238"/>
                <w:sz w:val="18"/>
              </w:rPr>
              <w:t>│   ├── test-utils/</w:t>
            </w:r>
            <w:r>
              <w:br/>
            </w:r>
            <w:r>
              <w:rPr>
                <w:rFonts w:ascii="Consolas" w:hAnsi="Consolas"/>
                <w:color w:val="263238"/>
                <w:sz w:val="18"/>
              </w:rPr>
              <w:t>│   ├── visual-regression/</w:t>
            </w:r>
            <w:r>
              <w:br/>
            </w:r>
            <w:r>
              <w:rPr>
                <w:rFonts w:ascii="Consolas" w:hAnsi="Consolas"/>
                <w:color w:val="263238"/>
                <w:sz w:val="18"/>
              </w:rPr>
              <w:t>│   ├── a11y/</w:t>
            </w:r>
            <w:r>
              <w:br/>
            </w:r>
            <w:r>
              <w:rPr>
                <w:rFonts w:ascii="Consolas" w:hAnsi="Consolas"/>
                <w:color w:val="263238"/>
                <w:sz w:val="18"/>
              </w:rPr>
              <w:t>│   └── build-release/</w:t>
            </w:r>
            <w:r>
              <w:br/>
            </w:r>
            <w:r>
              <w:rPr>
                <w:rFonts w:ascii="Consolas" w:hAnsi="Consolas"/>
                <w:color w:val="263238"/>
                <w:sz w:val="18"/>
              </w:rPr>
              <w:t>├── config/</w:t>
            </w:r>
            <w:r>
              <w:br/>
            </w:r>
            <w:r>
              <w:rPr>
                <w:rFonts w:ascii="Consolas" w:hAnsi="Consolas"/>
                <w:color w:val="263238"/>
                <w:sz w:val="18"/>
              </w:rPr>
              <w:t>├── docs/</w:t>
            </w:r>
            <w:r>
              <w:br/>
            </w:r>
            <w:r>
              <w:rPr>
                <w:rFonts w:ascii="Consolas" w:hAnsi="Consolas"/>
                <w:color w:val="263238"/>
                <w:sz w:val="18"/>
              </w:rPr>
              <w:t>├── evidence/</w:t>
            </w:r>
            <w:r>
              <w:br/>
            </w:r>
            <w:r>
              <w:rPr>
                <w:rFonts w:ascii="Consolas" w:hAnsi="Consolas"/>
                <w:color w:val="263238"/>
                <w:sz w:val="18"/>
              </w:rPr>
              <w:t>├── angular.json</w:t>
            </w:r>
            <w:r>
              <w:br/>
            </w:r>
            <w:r>
              <w:rPr>
                <w:rFonts w:ascii="Consolas" w:hAnsi="Consolas"/>
                <w:color w:val="263238"/>
                <w:sz w:val="18"/>
              </w:rPr>
              <w:t>├── nx.json</w:t>
            </w:r>
            <w:r>
              <w:br/>
            </w:r>
            <w:r>
              <w:rPr>
                <w:rFonts w:ascii="Consolas" w:hAnsi="Consolas"/>
                <w:color w:val="263238"/>
                <w:sz w:val="18"/>
              </w:rPr>
              <w:t>├── tsconfig.base.json</w:t>
            </w:r>
            <w:r>
              <w:br/>
            </w:r>
            <w:r>
              <w:rPr>
                <w:rFonts w:ascii="Consolas" w:hAnsi="Consolas"/>
                <w:color w:val="263238"/>
                <w:sz w:val="18"/>
              </w:rPr>
              <w:t>├── package.json</w:t>
            </w:r>
            <w:r>
              <w:br/>
            </w:r>
            <w:r>
              <w:rPr>
                <w:rFonts w:ascii="Consolas" w:hAnsi="Consolas"/>
                <w:color w:val="263238"/>
                <w:sz w:val="18"/>
              </w:rPr>
              <w:t>└── package-lock.json</w:t>
            </w:r>
          </w:p>
        </w:tc>
      </w:tr>
    </w:tbl>
    <w:p>
      <w:pPr>
        <w:spacing w:after="0"/>
      </w:pPr>
    </w:p>
    <w:p>
      <w:r>
        <w:rPr>
          <w:rFonts w:ascii="Aptos" w:hAnsi="Aptos"/>
          <w:sz w:val="24"/>
        </w:rPr>
        <w:t>The exact orchestration tool remains an implementation choice controlled by PAEP-IB-01, but the ownership boundaries above are architectural. Shared packages are governed centrally; product applications compose them and shall not copy platform code into product repositories as a delivery shortcut.</w:t>
      </w:r>
    </w:p>
    <w:p>
      <w:pPr>
        <w:spacing w:before="160" w:after="60"/>
        <w:jc w:val="center"/>
      </w:pPr>
      <w:r>
        <w:rPr>
          <w:rFonts w:ascii="Aptos" w:hAnsi="Aptos"/>
          <w:sz w:val="24"/>
        </w:rPr>
        <w:drawing>
          <wp:inline xmlns:a="http://schemas.openxmlformats.org/drawingml/2006/main" xmlns:pic="http://schemas.openxmlformats.org/drawingml/2006/picture">
            <wp:extent cx="5669280" cy="3582285"/>
            <wp:docPr id="3" name="Picture 3"/>
            <wp:cNvGraphicFramePr>
              <a:graphicFrameLocks noChangeAspect="1"/>
            </wp:cNvGraphicFramePr>
            <a:graphic>
              <a:graphicData uri="http://schemas.openxmlformats.org/drawingml/2006/picture">
                <pic:pic>
                  <pic:nvPicPr>
                    <pic:cNvPr id="0" name="fig2_dependency.png"/>
                    <pic:cNvPicPr/>
                  </pic:nvPicPr>
                  <pic:blipFill>
                    <a:blip r:embed="rId13"/>
                    <a:stretch>
                      <a:fillRect/>
                    </a:stretch>
                  </pic:blipFill>
                  <pic:spPr>
                    <a:xfrm>
                      <a:off x="0" y="0"/>
                      <a:ext cx="5669280" cy="3582285"/>
                    </a:xfrm>
                    <a:prstGeom prst="rect"/>
                  </pic:spPr>
                </pic:pic>
              </a:graphicData>
            </a:graphic>
          </wp:inline>
        </w:drawing>
      </w:r>
    </w:p>
    <w:p>
      <w:pPr>
        <w:spacing w:after="160"/>
        <w:jc w:val="center"/>
      </w:pPr>
      <w:r>
        <w:rPr>
          <w:rFonts w:ascii="Aptos" w:hAnsi="Aptos"/>
          <w:i/>
          <w:color w:val="667085"/>
          <w:sz w:val="19"/>
        </w:rPr>
        <w:t>Figure 2. Mandatory package dependency direction to be enforced by linting and CI.</w:t>
      </w:r>
    </w:p>
    <w:p>
      <w:pPr>
        <w:pStyle w:val="Heading2"/>
      </w:pPr>
      <w:r>
        <w:t>4.3 Mandatory Package Rules</w:t>
      </w:r>
    </w:p>
    <w:p>
      <w:pPr>
        <w:pStyle w:val="BodyText"/>
        <w:spacing w:before="0" w:after="80"/>
      </w:pPr>
      <w:r>
        <w:rPr>
          <w:rFonts w:ascii="Aptos" w:hAnsi="Aptos"/>
          <w:b/>
          <w:sz w:val="24"/>
        </w:rPr>
        <w:t xml:space="preserve">(i) </w:t>
      </w:r>
      <w:r>
        <w:rPr>
          <w:rFonts w:ascii="Aptos" w:hAnsi="Aptos"/>
          <w:sz w:val="24"/>
        </w:rPr>
        <w:t>Product applications may depend on approved experience, component, adapter, cross-cutting and base packages, but shared packages shall not depend on product applications.</w:t>
      </w:r>
    </w:p>
    <w:p>
      <w:pPr>
        <w:pStyle w:val="BodyText"/>
        <w:spacing w:before="0" w:after="80"/>
      </w:pPr>
      <w:r>
        <w:rPr>
          <w:rFonts w:ascii="Aptos" w:hAnsi="Aptos"/>
          <w:b/>
          <w:sz w:val="24"/>
        </w:rPr>
        <w:t xml:space="preserve">(ii) </w:t>
      </w:r>
      <w:r>
        <w:rPr>
          <w:rFonts w:ascii="Aptos" w:hAnsi="Aptos"/>
          <w:sz w:val="24"/>
        </w:rPr>
        <w:t>Experience packages may depend downward on reusable components, adapters, cross-cutting platform services and architectural base packages.</w:t>
      </w:r>
    </w:p>
    <w:p>
      <w:pPr>
        <w:pStyle w:val="BodyText"/>
        <w:spacing w:before="0" w:after="80"/>
      </w:pPr>
      <w:r>
        <w:rPr>
          <w:rFonts w:ascii="Aptos" w:hAnsi="Aptos"/>
          <w:b/>
          <w:sz w:val="24"/>
        </w:rPr>
        <w:t xml:space="preserve">(iii) </w:t>
      </w:r>
      <w:r>
        <w:rPr>
          <w:rFonts w:ascii="Aptos" w:hAnsi="Aptos"/>
          <w:sz w:val="24"/>
        </w:rPr>
        <w:t>Foundation and product-neutral contracts shall not depend on enterprise, domain, Frappe, analytics implementation or application packages.</w:t>
      </w:r>
    </w:p>
    <w:p>
      <w:pPr>
        <w:pStyle w:val="BodyText"/>
        <w:spacing w:before="0" w:after="80"/>
      </w:pPr>
      <w:r>
        <w:rPr>
          <w:rFonts w:ascii="Aptos" w:hAnsi="Aptos"/>
          <w:b/>
          <w:sz w:val="24"/>
        </w:rPr>
        <w:t xml:space="preserve">(iv) </w:t>
      </w:r>
      <w:r>
        <w:rPr>
          <w:rFonts w:ascii="Aptos" w:hAnsi="Aptos"/>
          <w:sz w:val="24"/>
        </w:rPr>
        <w:t>Cross-package imports shall use public entry points. Deep imports into another package implementation directory are prohibited.</w:t>
      </w:r>
    </w:p>
    <w:p>
      <w:pPr>
        <w:pStyle w:val="BodyText"/>
        <w:spacing w:before="0" w:after="80"/>
      </w:pPr>
      <w:r>
        <w:rPr>
          <w:rFonts w:ascii="Aptos" w:hAnsi="Aptos"/>
          <w:b/>
          <w:sz w:val="24"/>
        </w:rPr>
        <w:t xml:space="preserve">(v) </w:t>
      </w:r>
      <w:r>
        <w:rPr>
          <w:rFonts w:ascii="Aptos" w:hAnsi="Aptos"/>
          <w:sz w:val="24"/>
        </w:rPr>
        <w:t>Circular package dependencies are prohibited and shall fail CI.</w:t>
      </w:r>
    </w:p>
    <w:p>
      <w:pPr>
        <w:pStyle w:val="BodyText"/>
        <w:spacing w:before="0" w:after="80"/>
      </w:pPr>
      <w:r>
        <w:rPr>
          <w:rFonts w:ascii="Aptos" w:hAnsi="Aptos"/>
          <w:b/>
          <w:sz w:val="24"/>
        </w:rPr>
        <w:t xml:space="preserve">(vi) </w:t>
      </w:r>
      <w:r>
        <w:rPr>
          <w:rFonts w:ascii="Aptos" w:hAnsi="Aptos"/>
          <w:sz w:val="24"/>
        </w:rPr>
        <w:t>Package-boundary exceptions require an approved architecture decision record with an explicit sunset or compatibility plan.</w:t>
      </w:r>
    </w:p>
    <w:p>
      <w:pPr>
        <w:pStyle w:val="Heading2"/>
      </w:pPr>
      <w:r>
        <w:t>4.4 IB0 Work Packages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0E2E53"/>
            <w:vAlign w:val="center"/>
          </w:tcPr>
          <w:p>
            <w:pPr>
              <w:jc w:val="left"/>
            </w:pPr>
            <w:r>
              <w:rPr>
                <w:rFonts w:ascii="Aptos" w:hAnsi="Aptos"/>
                <w:b/>
                <w:color w:val="FFFFFF"/>
                <w:sz w:val="19"/>
              </w:rPr>
              <w:t>Work package</w:t>
            </w:r>
          </w:p>
        </w:tc>
        <w:tc>
          <w:tcPr>
            <w:tcW w:type="dxa" w:w="5328"/>
            <w:shd w:fill="0E2E53"/>
            <w:vAlign w:val="center"/>
          </w:tcPr>
          <w:p>
            <w:pPr>
              <w:jc w:val="left"/>
            </w:pPr>
            <w:r>
              <w:rPr>
                <w:rFonts w:ascii="Aptos" w:hAnsi="Aptos"/>
                <w:b/>
                <w:color w:val="FFFFFF"/>
                <w:sz w:val="19"/>
              </w:rPr>
              <w:t>Implementation activity</w:t>
            </w:r>
          </w:p>
        </w:tc>
        <w:tc>
          <w:tcPr>
            <w:tcW w:type="dxa" w:w="2736"/>
            <w:shd w:fill="0E2E53"/>
            <w:vAlign w:val="center"/>
          </w:tcPr>
          <w:p>
            <w:pPr>
              <w:jc w:val="left"/>
            </w:pPr>
            <w:r>
              <w:rPr>
                <w:rFonts w:ascii="Aptos" w:hAnsi="Aptos"/>
                <w:b/>
                <w:color w:val="FFFFFF"/>
                <w:sz w:val="19"/>
              </w:rPr>
              <w:t>Required evidence</w:t>
            </w:r>
          </w:p>
        </w:tc>
      </w:tr>
      <w:tr>
        <w:tc>
          <w:tcPr>
            <w:tcW w:type="dxa" w:w="1440"/>
            <w:vAlign w:val="top"/>
          </w:tcPr>
          <w:p>
            <w:pPr>
              <w:spacing w:after="20"/>
            </w:pPr>
            <w:r>
              <w:rPr>
                <w:rFonts w:ascii="Aptos" w:hAnsi="Aptos"/>
                <w:color w:val="122033"/>
                <w:sz w:val="19"/>
              </w:rPr>
              <w:t>IB0-WP1</w:t>
            </w:r>
          </w:p>
        </w:tc>
        <w:tc>
          <w:tcPr>
            <w:tcW w:type="dxa" w:w="5328"/>
            <w:vAlign w:val="top"/>
          </w:tcPr>
          <w:p>
            <w:pPr>
              <w:spacing w:after="20"/>
            </w:pPr>
            <w:r>
              <w:rPr>
                <w:rFonts w:ascii="Aptos" w:hAnsi="Aptos"/>
                <w:color w:val="122033"/>
                <w:sz w:val="19"/>
              </w:rPr>
              <w:t>Create the governed workspace, package namespaces, applications, tooling, configuration, documentation and evidence areas.</w:t>
            </w:r>
          </w:p>
        </w:tc>
        <w:tc>
          <w:tcPr>
            <w:tcW w:type="dxa" w:w="2736"/>
            <w:vAlign w:val="top"/>
          </w:tcPr>
          <w:p>
            <w:pPr>
              <w:spacing w:after="20"/>
            </w:pPr>
            <w:r>
              <w:rPr>
                <w:rFonts w:ascii="Aptos" w:hAnsi="Aptos"/>
                <w:color w:val="122033"/>
                <w:sz w:val="19"/>
              </w:rPr>
              <w:t>Repository tree; clean clone and install.</w:t>
            </w:r>
          </w:p>
        </w:tc>
      </w:tr>
      <w:tr>
        <w:tc>
          <w:tcPr>
            <w:tcW w:type="dxa" w:w="1440"/>
            <w:vAlign w:val="top"/>
            <w:shd w:fill="F8FAFC"/>
          </w:tcPr>
          <w:p>
            <w:pPr>
              <w:spacing w:after="20"/>
            </w:pPr>
            <w:r>
              <w:rPr>
                <w:rFonts w:ascii="Aptos" w:hAnsi="Aptos"/>
                <w:color w:val="122033"/>
                <w:sz w:val="19"/>
              </w:rPr>
              <w:t>IB0-WP2</w:t>
            </w:r>
          </w:p>
        </w:tc>
        <w:tc>
          <w:tcPr>
            <w:tcW w:type="dxa" w:w="5328"/>
            <w:vAlign w:val="top"/>
            <w:shd w:fill="F8FAFC"/>
          </w:tcPr>
          <w:p>
            <w:pPr>
              <w:spacing w:after="20"/>
            </w:pPr>
            <w:r>
              <w:rPr>
                <w:rFonts w:ascii="Aptos" w:hAnsi="Aptos"/>
                <w:color w:val="122033"/>
                <w:sz w:val="19"/>
              </w:rPr>
              <w:t>Pin the approved Angular/toolchain baseline and commit the lockfile.</w:t>
            </w:r>
          </w:p>
        </w:tc>
        <w:tc>
          <w:tcPr>
            <w:tcW w:type="dxa" w:w="2736"/>
            <w:vAlign w:val="top"/>
            <w:shd w:fill="F8FAFC"/>
          </w:tcPr>
          <w:p>
            <w:pPr>
              <w:spacing w:after="20"/>
            </w:pPr>
            <w:r>
              <w:rPr>
                <w:rFonts w:ascii="Aptos" w:hAnsi="Aptos"/>
                <w:color w:val="122033"/>
                <w:sz w:val="19"/>
              </w:rPr>
              <w:t>Version manifest; package-lock; build log.</w:t>
            </w:r>
          </w:p>
        </w:tc>
      </w:tr>
      <w:tr>
        <w:tc>
          <w:tcPr>
            <w:tcW w:type="dxa" w:w="1440"/>
            <w:vAlign w:val="top"/>
          </w:tcPr>
          <w:p>
            <w:pPr>
              <w:spacing w:after="20"/>
            </w:pPr>
            <w:r>
              <w:rPr>
                <w:rFonts w:ascii="Aptos" w:hAnsi="Aptos"/>
                <w:color w:val="122033"/>
                <w:sz w:val="19"/>
              </w:rPr>
              <w:t>IB0-WP3</w:t>
            </w:r>
          </w:p>
        </w:tc>
        <w:tc>
          <w:tcPr>
            <w:tcW w:type="dxa" w:w="5328"/>
            <w:vAlign w:val="top"/>
          </w:tcPr>
          <w:p>
            <w:pPr>
              <w:spacing w:after="20"/>
            </w:pPr>
            <w:r>
              <w:rPr>
                <w:rFonts w:ascii="Aptos" w:hAnsi="Aptos"/>
                <w:color w:val="122033"/>
                <w:sz w:val="19"/>
              </w:rPr>
              <w:t>Configure strict TypeScript/template settings and package path aliases/public entry points.</w:t>
            </w:r>
          </w:p>
        </w:tc>
        <w:tc>
          <w:tcPr>
            <w:tcW w:type="dxa" w:w="2736"/>
            <w:vAlign w:val="top"/>
          </w:tcPr>
          <w:p>
            <w:pPr>
              <w:spacing w:after="20"/>
            </w:pPr>
            <w:r>
              <w:rPr>
                <w:rFonts w:ascii="Aptos" w:hAnsi="Aptos"/>
                <w:color w:val="122033"/>
                <w:sz w:val="19"/>
              </w:rPr>
              <w:t>Compiler configuration; package API checks.</w:t>
            </w:r>
          </w:p>
        </w:tc>
      </w:tr>
      <w:tr>
        <w:tc>
          <w:tcPr>
            <w:tcW w:type="dxa" w:w="1440"/>
            <w:vAlign w:val="top"/>
            <w:shd w:fill="F8FAFC"/>
          </w:tcPr>
          <w:p>
            <w:pPr>
              <w:spacing w:after="20"/>
            </w:pPr>
            <w:r>
              <w:rPr>
                <w:rFonts w:ascii="Aptos" w:hAnsi="Aptos"/>
                <w:color w:val="122033"/>
                <w:sz w:val="19"/>
              </w:rPr>
              <w:t>IB0-WP4</w:t>
            </w:r>
          </w:p>
        </w:tc>
        <w:tc>
          <w:tcPr>
            <w:tcW w:type="dxa" w:w="5328"/>
            <w:vAlign w:val="top"/>
            <w:shd w:fill="F8FAFC"/>
          </w:tcPr>
          <w:p>
            <w:pPr>
              <w:spacing w:after="20"/>
            </w:pPr>
            <w:r>
              <w:rPr>
                <w:rFonts w:ascii="Aptos" w:hAnsi="Aptos"/>
                <w:color w:val="122033"/>
                <w:sz w:val="19"/>
              </w:rPr>
              <w:t>Implement architecture tags/boundaries, circular-dependency detection and deep-import restrictions.</w:t>
            </w:r>
          </w:p>
        </w:tc>
        <w:tc>
          <w:tcPr>
            <w:tcW w:type="dxa" w:w="2736"/>
            <w:vAlign w:val="top"/>
            <w:shd w:fill="F8FAFC"/>
          </w:tcPr>
          <w:p>
            <w:pPr>
              <w:spacing w:after="20"/>
            </w:pPr>
            <w:r>
              <w:rPr>
                <w:rFonts w:ascii="Aptos" w:hAnsi="Aptos"/>
                <w:color w:val="122033"/>
                <w:sz w:val="19"/>
              </w:rPr>
              <w:t>Negative boundary tests demonstrating CI rejection.</w:t>
            </w:r>
          </w:p>
        </w:tc>
      </w:tr>
      <w:tr>
        <w:tc>
          <w:tcPr>
            <w:tcW w:type="dxa" w:w="1440"/>
            <w:vAlign w:val="top"/>
          </w:tcPr>
          <w:p>
            <w:pPr>
              <w:spacing w:after="20"/>
            </w:pPr>
            <w:r>
              <w:rPr>
                <w:rFonts w:ascii="Aptos" w:hAnsi="Aptos"/>
                <w:color w:val="122033"/>
                <w:sz w:val="19"/>
              </w:rPr>
              <w:t>IB0-WP5</w:t>
            </w:r>
          </w:p>
        </w:tc>
        <w:tc>
          <w:tcPr>
            <w:tcW w:type="dxa" w:w="5328"/>
            <w:vAlign w:val="top"/>
          </w:tcPr>
          <w:p>
            <w:pPr>
              <w:spacing w:after="20"/>
            </w:pPr>
            <w:r>
              <w:rPr>
                <w:rFonts w:ascii="Aptos" w:hAnsi="Aptos"/>
                <w:color w:val="122033"/>
                <w:sz w:val="19"/>
              </w:rPr>
              <w:t>Create baseline CI stages for install, lint, type-check, unit test, build and architecture verification.</w:t>
            </w:r>
          </w:p>
        </w:tc>
        <w:tc>
          <w:tcPr>
            <w:tcW w:type="dxa" w:w="2736"/>
            <w:vAlign w:val="top"/>
          </w:tcPr>
          <w:p>
            <w:pPr>
              <w:spacing w:after="20"/>
            </w:pPr>
            <w:r>
              <w:rPr>
                <w:rFonts w:ascii="Aptos" w:hAnsi="Aptos"/>
                <w:color w:val="122033"/>
                <w:sz w:val="19"/>
              </w:rPr>
              <w:t>Successful CI run from clean source checkout.</w:t>
            </w:r>
          </w:p>
        </w:tc>
      </w:tr>
    </w:tbl>
    <w:p>
      <w:pPr>
        <w:spacing w:after="40"/>
      </w:pPr>
    </w:p>
    <w:p>
      <w:pPr>
        <w:pStyle w:val="Heading2"/>
      </w:pPr>
      <w:r>
        <w:t>4.5 IB0 CI Acceptance Gates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0E2E53"/>
            <w:vAlign w:val="center"/>
          </w:tcPr>
          <w:p>
            <w:pPr>
              <w:jc w:val="left"/>
            </w:pPr>
            <w:r>
              <w:rPr>
                <w:rFonts w:ascii="Aptos" w:hAnsi="Aptos"/>
                <w:b/>
                <w:color w:val="FFFFFF"/>
                <w:sz w:val="20"/>
              </w:rPr>
              <w:t>Gate</w:t>
            </w:r>
          </w:p>
        </w:tc>
        <w:tc>
          <w:tcPr>
            <w:tcW w:type="dxa" w:w="7344"/>
            <w:shd w:fill="0E2E53"/>
            <w:vAlign w:val="center"/>
          </w:tcPr>
          <w:p>
            <w:pPr>
              <w:jc w:val="left"/>
            </w:pPr>
            <w:r>
              <w:rPr>
                <w:rFonts w:ascii="Aptos" w:hAnsi="Aptos"/>
                <w:b/>
                <w:color w:val="FFFFFF"/>
                <w:sz w:val="20"/>
              </w:rPr>
              <w:t>Acceptance requirement</w:t>
            </w:r>
          </w:p>
        </w:tc>
      </w:tr>
      <w:tr>
        <w:tc>
          <w:tcPr>
            <w:tcW w:type="dxa" w:w="2232"/>
            <w:vAlign w:val="top"/>
          </w:tcPr>
          <w:p>
            <w:pPr>
              <w:spacing w:after="20"/>
            </w:pPr>
            <w:r>
              <w:rPr>
                <w:rFonts w:ascii="Aptos" w:hAnsi="Aptos"/>
                <w:color w:val="122033"/>
                <w:sz w:val="20"/>
              </w:rPr>
              <w:t>Clean install</w:t>
            </w:r>
          </w:p>
        </w:tc>
        <w:tc>
          <w:tcPr>
            <w:tcW w:type="dxa" w:w="7344"/>
            <w:vAlign w:val="top"/>
          </w:tcPr>
          <w:p>
            <w:pPr>
              <w:spacing w:after="20"/>
            </w:pPr>
            <w:r>
              <w:rPr>
                <w:rFonts w:ascii="Aptos" w:hAnsi="Aptos"/>
                <w:color w:val="122033"/>
                <w:sz w:val="20"/>
              </w:rPr>
              <w:t>A fresh checkout completes the approved package-manager clean installation from the committed lockfile.</w:t>
            </w:r>
          </w:p>
        </w:tc>
      </w:tr>
      <w:tr>
        <w:tc>
          <w:tcPr>
            <w:tcW w:type="dxa" w:w="2232"/>
            <w:vAlign w:val="top"/>
            <w:shd w:fill="F8FAFC"/>
          </w:tcPr>
          <w:p>
            <w:pPr>
              <w:spacing w:after="20"/>
            </w:pPr>
            <w:r>
              <w:rPr>
                <w:rFonts w:ascii="Aptos" w:hAnsi="Aptos"/>
                <w:color w:val="122033"/>
                <w:sz w:val="20"/>
              </w:rPr>
              <w:t>Build</w:t>
            </w:r>
          </w:p>
        </w:tc>
        <w:tc>
          <w:tcPr>
            <w:tcW w:type="dxa" w:w="7344"/>
            <w:vAlign w:val="top"/>
            <w:shd w:fill="F8FAFC"/>
          </w:tcPr>
          <w:p>
            <w:pPr>
              <w:spacing w:after="20"/>
            </w:pPr>
            <w:r>
              <w:rPr>
                <w:rFonts w:ascii="Aptos" w:hAnsi="Aptos"/>
                <w:color w:val="122033"/>
                <w:sz w:val="20"/>
              </w:rPr>
              <w:t>All current applications and libraries compile successfully.</w:t>
            </w:r>
          </w:p>
        </w:tc>
      </w:tr>
      <w:tr>
        <w:tc>
          <w:tcPr>
            <w:tcW w:type="dxa" w:w="2232"/>
            <w:vAlign w:val="top"/>
          </w:tcPr>
          <w:p>
            <w:pPr>
              <w:spacing w:after="20"/>
            </w:pPr>
            <w:r>
              <w:rPr>
                <w:rFonts w:ascii="Aptos" w:hAnsi="Aptos"/>
                <w:color w:val="122033"/>
                <w:sz w:val="20"/>
              </w:rPr>
              <w:t>Type safety</w:t>
            </w:r>
          </w:p>
        </w:tc>
        <w:tc>
          <w:tcPr>
            <w:tcW w:type="dxa" w:w="7344"/>
            <w:vAlign w:val="top"/>
          </w:tcPr>
          <w:p>
            <w:pPr>
              <w:spacing w:after="20"/>
            </w:pPr>
            <w:r>
              <w:rPr>
                <w:rFonts w:ascii="Aptos" w:hAnsi="Aptos"/>
                <w:color w:val="122033"/>
                <w:sz w:val="20"/>
              </w:rPr>
              <w:t>Strict TypeScript and strict Angular template checks pass.</w:t>
            </w:r>
          </w:p>
        </w:tc>
      </w:tr>
      <w:tr>
        <w:tc>
          <w:tcPr>
            <w:tcW w:type="dxa" w:w="2232"/>
            <w:vAlign w:val="top"/>
            <w:shd w:fill="F8FAFC"/>
          </w:tcPr>
          <w:p>
            <w:pPr>
              <w:spacing w:after="20"/>
            </w:pPr>
            <w:r>
              <w:rPr>
                <w:rFonts w:ascii="Aptos" w:hAnsi="Aptos"/>
                <w:color w:val="122033"/>
                <w:sz w:val="20"/>
              </w:rPr>
              <w:t>Architecture</w:t>
            </w:r>
          </w:p>
        </w:tc>
        <w:tc>
          <w:tcPr>
            <w:tcW w:type="dxa" w:w="7344"/>
            <w:vAlign w:val="top"/>
            <w:shd w:fill="F8FAFC"/>
          </w:tcPr>
          <w:p>
            <w:pPr>
              <w:spacing w:after="20"/>
            </w:pPr>
            <w:r>
              <w:rPr>
                <w:rFonts w:ascii="Aptos" w:hAnsi="Aptos"/>
                <w:color w:val="122033"/>
                <w:sz w:val="20"/>
              </w:rPr>
              <w:t>Forbidden upward or cross-layer dependencies are rejected.</w:t>
            </w:r>
          </w:p>
        </w:tc>
      </w:tr>
      <w:tr>
        <w:tc>
          <w:tcPr>
            <w:tcW w:type="dxa" w:w="2232"/>
            <w:vAlign w:val="top"/>
          </w:tcPr>
          <w:p>
            <w:pPr>
              <w:spacing w:after="20"/>
            </w:pPr>
            <w:r>
              <w:rPr>
                <w:rFonts w:ascii="Aptos" w:hAnsi="Aptos"/>
                <w:color w:val="122033"/>
                <w:sz w:val="20"/>
              </w:rPr>
              <w:t>Circular dependencies</w:t>
            </w:r>
          </w:p>
        </w:tc>
        <w:tc>
          <w:tcPr>
            <w:tcW w:type="dxa" w:w="7344"/>
            <w:vAlign w:val="top"/>
          </w:tcPr>
          <w:p>
            <w:pPr>
              <w:spacing w:after="20"/>
            </w:pPr>
            <w:r>
              <w:rPr>
                <w:rFonts w:ascii="Aptos" w:hAnsi="Aptos"/>
                <w:color w:val="122033"/>
                <w:sz w:val="20"/>
              </w:rPr>
              <w:t>No circular package dependency remains.</w:t>
            </w:r>
          </w:p>
        </w:tc>
      </w:tr>
      <w:tr>
        <w:tc>
          <w:tcPr>
            <w:tcW w:type="dxa" w:w="2232"/>
            <w:vAlign w:val="top"/>
            <w:shd w:fill="F8FAFC"/>
          </w:tcPr>
          <w:p>
            <w:pPr>
              <w:spacing w:after="20"/>
            </w:pPr>
            <w:r>
              <w:rPr>
                <w:rFonts w:ascii="Aptos" w:hAnsi="Aptos"/>
                <w:color w:val="122033"/>
                <w:sz w:val="20"/>
              </w:rPr>
              <w:t>Public API discipline</w:t>
            </w:r>
          </w:p>
        </w:tc>
        <w:tc>
          <w:tcPr>
            <w:tcW w:type="dxa" w:w="7344"/>
            <w:vAlign w:val="top"/>
            <w:shd w:fill="F8FAFC"/>
          </w:tcPr>
          <w:p>
            <w:pPr>
              <w:spacing w:after="20"/>
            </w:pPr>
            <w:r>
              <w:rPr>
                <w:rFonts w:ascii="Aptos" w:hAnsi="Aptos"/>
                <w:color w:val="122033"/>
                <w:sz w:val="20"/>
              </w:rPr>
              <w:t>No package consumes another package through an internal/deep implementation path.</w:t>
            </w:r>
          </w:p>
        </w:tc>
      </w:tr>
      <w:tr>
        <w:tc>
          <w:tcPr>
            <w:tcW w:type="dxa" w:w="2232"/>
            <w:vAlign w:val="top"/>
          </w:tcPr>
          <w:p>
            <w:pPr>
              <w:spacing w:after="20"/>
            </w:pPr>
            <w:r>
              <w:rPr>
                <w:rFonts w:ascii="Aptos" w:hAnsi="Aptos"/>
                <w:color w:val="122033"/>
                <w:sz w:val="20"/>
              </w:rPr>
              <w:t>Unit baseline</w:t>
            </w:r>
          </w:p>
        </w:tc>
        <w:tc>
          <w:tcPr>
            <w:tcW w:type="dxa" w:w="7344"/>
            <w:vAlign w:val="top"/>
          </w:tcPr>
          <w:p>
            <w:pPr>
              <w:spacing w:after="20"/>
            </w:pPr>
            <w:r>
              <w:rPr>
                <w:rFonts w:ascii="Aptos" w:hAnsi="Aptos"/>
                <w:color w:val="122033"/>
                <w:sz w:val="20"/>
              </w:rPr>
              <w:t>Current deterministic unit tests pass.</w:t>
            </w:r>
          </w:p>
        </w:tc>
      </w:tr>
      <w:tr>
        <w:tc>
          <w:tcPr>
            <w:tcW w:type="dxa" w:w="2232"/>
            <w:vAlign w:val="top"/>
            <w:shd w:fill="F8FAFC"/>
          </w:tcPr>
          <w:p>
            <w:pPr>
              <w:spacing w:after="20"/>
            </w:pPr>
            <w:r>
              <w:rPr>
                <w:rFonts w:ascii="Aptos" w:hAnsi="Aptos"/>
                <w:color w:val="122033"/>
                <w:sz w:val="20"/>
              </w:rPr>
              <w:t>Reproducibility</w:t>
            </w:r>
          </w:p>
        </w:tc>
        <w:tc>
          <w:tcPr>
            <w:tcW w:type="dxa" w:w="7344"/>
            <w:vAlign w:val="top"/>
            <w:shd w:fill="F8FAFC"/>
          </w:tcPr>
          <w:p>
            <w:pPr>
              <w:spacing w:after="20"/>
            </w:pPr>
            <w:r>
              <w:rPr>
                <w:rFonts w:ascii="Aptos" w:hAnsi="Aptos"/>
                <w:color w:val="122033"/>
                <w:sz w:val="20"/>
              </w:rPr>
              <w:t>A clean environment reproduces the workspace build without local machine assumptions.</w:t>
            </w:r>
          </w:p>
        </w:tc>
      </w:tr>
    </w:tbl>
    <w:p>
      <w:pPr>
        <w:spacing w:after="40"/>
      </w:pPr>
    </w:p>
    <w:p>
      <w:pPr>
        <w:pStyle w:val="Heading2"/>
      </w:pPr>
      <w:r>
        <w:t>4.6 IB0 Exit Criteria</w:t>
      </w:r>
    </w:p>
    <w:p>
      <w:pPr>
        <w:pStyle w:val="BodyText"/>
        <w:spacing w:before="0" w:after="80"/>
      </w:pPr>
      <w:r>
        <w:rPr>
          <w:rFonts w:ascii="Aptos" w:hAnsi="Aptos"/>
          <w:b/>
          <w:sz w:val="24"/>
        </w:rPr>
        <w:t xml:space="preserve">(i) </w:t>
      </w:r>
      <w:r>
        <w:rPr>
          <w:rFonts w:ascii="Aptos" w:hAnsi="Aptos"/>
          <w:sz w:val="24"/>
        </w:rPr>
        <w:t>The repository structure is committed and approved against the PAEP package ownership model.</w:t>
      </w:r>
    </w:p>
    <w:p>
      <w:pPr>
        <w:pStyle w:val="BodyText"/>
        <w:spacing w:before="0" w:after="80"/>
      </w:pPr>
      <w:r>
        <w:rPr>
          <w:rFonts w:ascii="Aptos" w:hAnsi="Aptos"/>
          <w:b/>
          <w:sz w:val="24"/>
        </w:rPr>
        <w:t xml:space="preserve">(ii) </w:t>
      </w:r>
      <w:r>
        <w:rPr>
          <w:rFonts w:ascii="Aptos" w:hAnsi="Aptos"/>
          <w:sz w:val="24"/>
        </w:rPr>
        <w:t>A clean installation and full workspace build succeed from a fresh checkout.</w:t>
      </w:r>
    </w:p>
    <w:p>
      <w:pPr>
        <w:pStyle w:val="BodyText"/>
        <w:spacing w:before="0" w:after="80"/>
      </w:pPr>
      <w:r>
        <w:rPr>
          <w:rFonts w:ascii="Aptos" w:hAnsi="Aptos"/>
          <w:b/>
          <w:sz w:val="24"/>
        </w:rPr>
        <w:t xml:space="preserve">(iii) </w:t>
      </w:r>
      <w:r>
        <w:rPr>
          <w:rFonts w:ascii="Aptos" w:hAnsi="Aptos"/>
          <w:sz w:val="24"/>
        </w:rPr>
        <w:t>Architecture-boundary, circular-dependency and public-entry-point controls are active and demonstrated by negative tests.</w:t>
      </w:r>
    </w:p>
    <w:p>
      <w:pPr>
        <w:pStyle w:val="BodyText"/>
        <w:spacing w:before="0" w:after="80"/>
      </w:pPr>
      <w:r>
        <w:rPr>
          <w:rFonts w:ascii="Aptos" w:hAnsi="Aptos"/>
          <w:b/>
          <w:sz w:val="24"/>
        </w:rPr>
        <w:t xml:space="preserve">(iv) </w:t>
      </w:r>
      <w:r>
        <w:rPr>
          <w:rFonts w:ascii="Aptos" w:hAnsi="Aptos"/>
          <w:sz w:val="24"/>
        </w:rPr>
        <w:t>Baseline CI is operational and retains build/test evidence.</w:t>
      </w:r>
    </w:p>
    <w:p>
      <w:pPr>
        <w:pStyle w:val="BodyText"/>
        <w:spacing w:before="0" w:after="80"/>
      </w:pPr>
      <w:r>
        <w:rPr>
          <w:rFonts w:ascii="Aptos" w:hAnsi="Aptos"/>
          <w:b/>
          <w:sz w:val="24"/>
        </w:rPr>
        <w:t xml:space="preserve">(v) </w:t>
      </w:r>
      <w:r>
        <w:rPr>
          <w:rFonts w:ascii="Aptos" w:hAnsi="Aptos"/>
          <w:sz w:val="24"/>
        </w:rPr>
        <w:t>No production feature work depends on ungoverned local code outside the approved workspace/package boundaries.</w:t>
      </w:r>
    </w:p>
    <w:tbl>
      <w:tblPr>
        <w:tblW w:type="auto" w:w="0"/>
        <w:jc w:val="center"/>
        <w:tblLayout w:type="fixed"/>
        <w:tblLook w:firstColumn="1" w:firstRow="1" w:lastColumn="0" w:lastRow="0" w:noHBand="0" w:noVBand="1" w:val="04A0"/>
      </w:tblPr>
      <w:tblGrid>
        <w:gridCol w:w="9576"/>
      </w:tblGrid>
      <w:tr>
        <w:tc>
          <w:tcPr>
            <w:tcW w:type="dxa" w:w="10166"/>
            <w:shd w:fill="FFF8E7"/>
            <w:tcBorders>
              <w:top w:val="single" w:sz="12" w:color="D9A514"/>
              <w:left w:val="single" w:sz="12" w:color="D9A514"/>
              <w:bottom w:val="single" w:sz="8" w:color="D9A514"/>
              <w:right w:val="single" w:sz="8" w:color="D9A514"/>
            </w:tcBorders>
          </w:tcPr>
          <w:p>
            <w:pPr>
              <w:spacing w:before="80" w:after="80"/>
            </w:pPr>
            <w:r>
              <w:rPr>
                <w:rFonts w:ascii="Aptos" w:hAnsi="Aptos"/>
                <w:b/>
                <w:color w:val="D9A514"/>
                <w:sz w:val="21"/>
              </w:rPr>
              <w:t>IB0 EXIT DECISION</w:t>
              <w:br/>
            </w:r>
            <w:r>
              <w:rPr>
                <w:rFonts w:ascii="Aptos" w:hAnsi="Aptos"/>
                <w:color w:val="122033"/>
                <w:sz w:val="23"/>
              </w:rPr>
              <w:t>IB0 is not complete merely because the reference application runs. It is complete when the workspace can actively reject architecture violations and reproduce a clean build from source.</w:t>
            </w:r>
          </w:p>
        </w:tc>
      </w:tr>
    </w:tbl>
    <w:p>
      <w:pPr>
        <w:spacing w:after="0"/>
      </w:pPr>
    </w:p>
    <w:p>
      <w:pPr>
        <w:pStyle w:val="Heading1"/>
      </w:pPr>
      <w:r>
        <w:t>5. IB1 - Product-Neutral Contracts and Runtime Configuration</w:t>
      </w:r>
    </w:p>
    <w:p>
      <w:pPr>
        <w:pStyle w:val="Heading2"/>
      </w:pPr>
      <w:r>
        <w:t>5.1 Objective</w:t>
      </w:r>
    </w:p>
    <w:p>
      <w:r>
        <w:rPr>
          <w:rFonts w:ascii="Aptos" w:hAnsi="Aptos"/>
          <w:sz w:val="24"/>
        </w:rPr>
        <w:t>IB1 establishes the abstraction boundary between PAEP user experiences and backend/deployment implementations. It preserves ERPNext/Frappe as the strategic system of record while ensuring that reusable UI packages depend on stable PAEP concepts rather than Frappe implementation details.</w:t>
      </w:r>
    </w:p>
    <w:tbl>
      <w:tblPr>
        <w:tblW w:type="auto" w:w="0"/>
        <w:jc w:val="center"/>
        <w:tblLayout w:type="fixed"/>
        <w:tblLook w:firstColumn="1" w:firstRow="1" w:lastColumn="0" w:lastRow="0" w:noHBand="0" w:noVBand="1" w:val="04A0"/>
      </w:tblPr>
      <w:tblGrid>
        <w:gridCol w:w="9576"/>
      </w:tblGrid>
      <w:tr>
        <w:tc>
          <w:tcPr>
            <w:tcW w:type="dxa" w:w="10166"/>
            <w:shd w:fill="EEF3F8"/>
            <w:tcBorders>
              <w:top w:val="single" w:sz="12" w:color="0E2E53"/>
              <w:left w:val="single" w:sz="12" w:color="0E2E53"/>
              <w:bottom w:val="single" w:sz="8" w:color="0E2E53"/>
              <w:right w:val="single" w:sz="8" w:color="0E2E53"/>
            </w:tcBorders>
          </w:tcPr>
          <w:p>
            <w:pPr>
              <w:spacing w:before="80" w:after="80"/>
            </w:pPr>
            <w:r>
              <w:rPr>
                <w:rFonts w:ascii="Aptos" w:hAnsi="Aptos"/>
                <w:b/>
                <w:color w:val="0E2E53"/>
                <w:sz w:val="21"/>
              </w:rPr>
              <w:t>ARCHITECTURAL RULE</w:t>
              <w:br/>
            </w:r>
            <w:r>
              <w:rPr>
                <w:rFonts w:ascii="Aptos" w:hAnsi="Aptos"/>
                <w:color w:val="122033"/>
                <w:sz w:val="23"/>
              </w:rPr>
              <w:t>@proseit/paep-contracts is a framework-neutral TypeScript package. It shall not import Angular, browser DOM APIs, Frappe types, visualization-library types or product-specific implementation code.</w:t>
            </w:r>
          </w:p>
        </w:tc>
      </w:tr>
    </w:tbl>
    <w:p>
      <w:pPr>
        <w:spacing w:after="0"/>
      </w:pPr>
    </w:p>
    <w:p>
      <w:pPr>
        <w:pStyle w:val="Heading2"/>
      </w:pPr>
      <w:r>
        <w:t>5.2 Contract Package Baseline</w:t>
      </w:r>
    </w:p>
    <w:p>
      <w:pPr>
        <w:spacing w:before="120" w:after="60"/>
      </w:pPr>
      <w:r>
        <w:rPr>
          <w:rFonts w:ascii="Aptos" w:hAnsi="Aptos"/>
          <w:b/>
          <w:color w:val="0E2E53"/>
          <w:sz w:val="20"/>
        </w:rPr>
        <w:t>Code Block 2. Initial product-neutral contract package structure.</w:t>
      </w:r>
    </w:p>
    <w:tbl>
      <w:tblPr>
        <w:tblW w:type="auto" w:w="0"/>
        <w:jc w:val="center"/>
        <w:tblLayout w:type="fixed"/>
        <w:tblLook w:firstColumn="1" w:firstRow="1" w:lastColumn="0" w:lastRow="0" w:noHBand="0" w:noVBand="1" w:val="04A0"/>
      </w:tblPr>
      <w:tblGrid>
        <w:gridCol w:w="9576"/>
      </w:tblGrid>
      <w:tr>
        <w:tc>
          <w:tcPr>
            <w:tcW w:type="dxa" w:w="10166"/>
            <w:shd w:fill="F5F7FA"/>
            <w:tcBorders>
              <w:top w:val="single" w:sz="8" w:color="CBD5E1"/>
              <w:left w:val="single" w:sz="8" w:color="CBD5E1"/>
              <w:bottom w:val="single" w:sz="8" w:color="CBD5E1"/>
              <w:right w:val="single" w:sz="8" w:color="CBD5E1"/>
            </w:tcBorders>
            <w:vAlign w:val="center"/>
          </w:tcPr>
          <w:p>
            <w:pPr>
              <w:spacing w:before="100" w:after="100"/>
            </w:pPr>
            <w:r>
              <w:rPr>
                <w:rFonts w:ascii="Consolas" w:hAnsi="Consolas"/>
                <w:color w:val="263238"/>
                <w:sz w:val="18"/>
              </w:rPr>
              <w:t>packages/contracts/src/lib/</w:t>
            </w:r>
            <w:r>
              <w:br/>
            </w:r>
            <w:r>
              <w:rPr>
                <w:rFonts w:ascii="Consolas" w:hAnsi="Consolas"/>
                <w:color w:val="263238"/>
                <w:sz w:val="18"/>
              </w:rPr>
              <w:t>├── core/</w:t>
            </w:r>
            <w:r>
              <w:br/>
            </w:r>
            <w:r>
              <w:rPr>
                <w:rFonts w:ascii="Consolas" w:hAnsi="Consolas"/>
                <w:color w:val="263238"/>
                <w:sz w:val="18"/>
              </w:rPr>
              <w:t>├── config/</w:t>
            </w:r>
            <w:r>
              <w:br/>
            </w:r>
            <w:r>
              <w:rPr>
                <w:rFonts w:ascii="Consolas" w:hAnsi="Consolas"/>
                <w:color w:val="263238"/>
                <w:sz w:val="18"/>
              </w:rPr>
              <w:t>├── identity/</w:t>
            </w:r>
            <w:r>
              <w:br/>
            </w:r>
            <w:r>
              <w:rPr>
                <w:rFonts w:ascii="Consolas" w:hAnsi="Consolas"/>
                <w:color w:val="263238"/>
                <w:sz w:val="18"/>
              </w:rPr>
              <w:t>├── domain/</w:t>
            </w:r>
            <w:r>
              <w:br/>
            </w:r>
            <w:r>
              <w:rPr>
                <w:rFonts w:ascii="Consolas" w:hAnsi="Consolas"/>
                <w:color w:val="263238"/>
                <w:sz w:val="18"/>
              </w:rPr>
              <w:t>├── reporting/</w:t>
            </w:r>
            <w:r>
              <w:br/>
            </w:r>
            <w:r>
              <w:rPr>
                <w:rFonts w:ascii="Consolas" w:hAnsi="Consolas"/>
                <w:color w:val="263238"/>
                <w:sz w:val="18"/>
              </w:rPr>
              <w:t>├── offline/</w:t>
            </w:r>
            <w:r>
              <w:br/>
            </w:r>
            <w:r>
              <w:rPr>
                <w:rFonts w:ascii="Consolas" w:hAnsi="Consolas"/>
                <w:color w:val="263238"/>
                <w:sz w:val="18"/>
              </w:rPr>
              <w:t>└── public-api.ts</w:t>
            </w:r>
          </w:p>
        </w:tc>
      </w:tr>
    </w:tbl>
    <w:p>
      <w:pPr>
        <w:spacing w:after="0"/>
      </w:pPr>
    </w:p>
    <w:p>
      <w:r>
        <w:rPr>
          <w:rFonts w:ascii="Aptos" w:hAnsi="Aptos"/>
          <w:sz w:val="24"/>
        </w:rPr>
        <w:t>The package defines stable data and capability contracts that can be implemented by adapters. The initial contract families include pagination and common result shapes, structured error contracts, concurrency metadata, money/value types, capability discovery, identity context, file/workflow abstractions, reporting queries and future offline command envelopes.</w:t>
      </w:r>
    </w:p>
    <w:p>
      <w:pPr>
        <w:pStyle w:val="Heading2"/>
      </w:pPr>
      <w:r>
        <w:t>5.3 Core Contract Examples</w:t>
      </w:r>
    </w:p>
    <w:p>
      <w:pPr>
        <w:spacing w:before="120" w:after="60"/>
      </w:pPr>
      <w:r>
        <w:rPr>
          <w:rFonts w:ascii="Aptos" w:hAnsi="Aptos"/>
          <w:b/>
          <w:color w:val="0E2E53"/>
          <w:sz w:val="20"/>
        </w:rPr>
        <w:t>Code Block 3. Common transport-independent contracts.</w:t>
      </w:r>
    </w:p>
    <w:tbl>
      <w:tblPr>
        <w:tblW w:type="auto" w:w="0"/>
        <w:jc w:val="center"/>
        <w:tblLayout w:type="fixed"/>
        <w:tblLook w:firstColumn="1" w:firstRow="1" w:lastColumn="0" w:lastRow="0" w:noHBand="0" w:noVBand="1" w:val="04A0"/>
      </w:tblPr>
      <w:tblGrid>
        <w:gridCol w:w="9576"/>
      </w:tblGrid>
      <w:tr>
        <w:tc>
          <w:tcPr>
            <w:tcW w:type="dxa" w:w="10166"/>
            <w:shd w:fill="F5F7FA"/>
            <w:tcBorders>
              <w:top w:val="single" w:sz="8" w:color="CBD5E1"/>
              <w:left w:val="single" w:sz="8" w:color="CBD5E1"/>
              <w:bottom w:val="single" w:sz="8" w:color="CBD5E1"/>
              <w:right w:val="single" w:sz="8" w:color="CBD5E1"/>
            </w:tcBorders>
            <w:vAlign w:val="center"/>
          </w:tcPr>
          <w:p>
            <w:pPr>
              <w:spacing w:before="100" w:after="100"/>
            </w:pPr>
            <w:r>
              <w:rPr>
                <w:rFonts w:ascii="Consolas" w:hAnsi="Consolas"/>
                <w:color w:val="263238"/>
                <w:sz w:val="18"/>
              </w:rPr>
              <w:t>export interface PageResult&lt;T&gt; {</w:t>
            </w:r>
            <w:r>
              <w:br/>
            </w:r>
            <w:r>
              <w:rPr>
                <w:rFonts w:ascii="Consolas" w:hAnsi="Consolas"/>
                <w:color w:val="263238"/>
                <w:sz w:val="18"/>
              </w:rPr>
              <w:t xml:space="preserve">  readonly items: readonly T[];</w:t>
            </w:r>
            <w:r>
              <w:br/>
            </w:r>
            <w:r>
              <w:rPr>
                <w:rFonts w:ascii="Consolas" w:hAnsi="Consolas"/>
                <w:color w:val="263238"/>
                <w:sz w:val="18"/>
              </w:rPr>
              <w:t xml:space="preserve">  readonly nextCursor?: string;</w:t>
            </w:r>
            <w:r>
              <w:br/>
            </w:r>
            <w:r>
              <w:rPr>
                <w:rFonts w:ascii="Consolas" w:hAnsi="Consolas"/>
                <w:color w:val="263238"/>
                <w:sz w:val="18"/>
              </w:rPr>
              <w:t>}</w:t>
            </w:r>
            <w:r>
              <w:br/>
            </w:r>
            <w:r>
              <w:rPr>
                <w:rFonts w:ascii="Consolas" w:hAnsi="Consolas"/>
                <w:color w:val="263238"/>
                <w:sz w:val="18"/>
              </w:rPr>
            </w:r>
            <w:r>
              <w:br/>
            </w:r>
            <w:r>
              <w:rPr>
                <w:rFonts w:ascii="Consolas" w:hAnsi="Consolas"/>
                <w:color w:val="263238"/>
                <w:sz w:val="18"/>
              </w:rPr>
              <w:t>export interface PaepError {</w:t>
            </w:r>
            <w:r>
              <w:br/>
            </w:r>
            <w:r>
              <w:rPr>
                <w:rFonts w:ascii="Consolas" w:hAnsi="Consolas"/>
                <w:color w:val="263238"/>
                <w:sz w:val="18"/>
              </w:rPr>
              <w:t xml:space="preserve">  readonly code: string;</w:t>
            </w:r>
            <w:r>
              <w:br/>
            </w:r>
            <w:r>
              <w:rPr>
                <w:rFonts w:ascii="Consolas" w:hAnsi="Consolas"/>
                <w:color w:val="263238"/>
                <w:sz w:val="18"/>
              </w:rPr>
              <w:t xml:space="preserve">  readonly messageKey: string;</w:t>
            </w:r>
            <w:r>
              <w:br/>
            </w:r>
            <w:r>
              <w:rPr>
                <w:rFonts w:ascii="Consolas" w:hAnsi="Consolas"/>
                <w:color w:val="263238"/>
                <w:sz w:val="18"/>
              </w:rPr>
              <w:t xml:space="preserve">  readonly correlationId?: string;</w:t>
            </w:r>
            <w:r>
              <w:br/>
            </w:r>
            <w:r>
              <w:rPr>
                <w:rFonts w:ascii="Consolas" w:hAnsi="Consolas"/>
                <w:color w:val="263238"/>
                <w:sz w:val="18"/>
              </w:rPr>
              <w:t xml:space="preserve">  readonly retryable: boolean;</w:t>
            </w:r>
            <w:r>
              <w:br/>
            </w:r>
            <w:r>
              <w:rPr>
                <w:rFonts w:ascii="Consolas" w:hAnsi="Consolas"/>
                <w:color w:val="263238"/>
                <w:sz w:val="18"/>
              </w:rPr>
              <w:t xml:space="preserve">  readonly fieldErrors?: Readonly&lt;Record&lt;string, readonly string[]&gt;&gt;;</w:t>
            </w:r>
            <w:r>
              <w:br/>
            </w:r>
            <w:r>
              <w:rPr>
                <w:rFonts w:ascii="Consolas" w:hAnsi="Consolas"/>
                <w:color w:val="263238"/>
                <w:sz w:val="18"/>
              </w:rPr>
              <w:t>}</w:t>
            </w:r>
            <w:r>
              <w:br/>
            </w:r>
            <w:r>
              <w:rPr>
                <w:rFonts w:ascii="Consolas" w:hAnsi="Consolas"/>
                <w:color w:val="263238"/>
                <w:sz w:val="18"/>
              </w:rPr>
            </w:r>
            <w:r>
              <w:br/>
            </w:r>
            <w:r>
              <w:rPr>
                <w:rFonts w:ascii="Consolas" w:hAnsi="Consolas"/>
                <w:color w:val="263238"/>
                <w:sz w:val="18"/>
              </w:rPr>
              <w:t>export interface ConcurrencyMetadata {</w:t>
            </w:r>
            <w:r>
              <w:br/>
            </w:r>
            <w:r>
              <w:rPr>
                <w:rFonts w:ascii="Consolas" w:hAnsi="Consolas"/>
                <w:color w:val="263238"/>
                <w:sz w:val="18"/>
              </w:rPr>
              <w:t xml:space="preserve">  readonly etag?: string;</w:t>
            </w:r>
            <w:r>
              <w:br/>
            </w:r>
            <w:r>
              <w:rPr>
                <w:rFonts w:ascii="Consolas" w:hAnsi="Consolas"/>
                <w:color w:val="263238"/>
                <w:sz w:val="18"/>
              </w:rPr>
              <w:t xml:space="preserve">  readonly serverVersion?: string;</w:t>
            </w:r>
            <w:r>
              <w:br/>
            </w:r>
            <w:r>
              <w:rPr>
                <w:rFonts w:ascii="Consolas" w:hAnsi="Consolas"/>
                <w:color w:val="263238"/>
                <w:sz w:val="18"/>
              </w:rPr>
              <w:t>}</w:t>
            </w:r>
          </w:p>
        </w:tc>
      </w:tr>
    </w:tbl>
    <w:p>
      <w:pPr>
        <w:spacing w:after="0"/>
      </w:pPr>
    </w:p>
    <w:p>
      <w:pPr>
        <w:spacing w:before="120" w:after="60"/>
      </w:pPr>
      <w:r>
        <w:rPr>
          <w:rFonts w:ascii="Aptos" w:hAnsi="Aptos"/>
          <w:b/>
          <w:color w:val="0E2E53"/>
          <w:sz w:val="20"/>
        </w:rPr>
        <w:t>Code Block 4. Value and capability contracts.</w:t>
      </w:r>
    </w:p>
    <w:tbl>
      <w:tblPr>
        <w:tblW w:type="auto" w:w="0"/>
        <w:jc w:val="center"/>
        <w:tblLayout w:type="fixed"/>
        <w:tblLook w:firstColumn="1" w:firstRow="1" w:lastColumn="0" w:lastRow="0" w:noHBand="0" w:noVBand="1" w:val="04A0"/>
      </w:tblPr>
      <w:tblGrid>
        <w:gridCol w:w="9576"/>
      </w:tblGrid>
      <w:tr>
        <w:tc>
          <w:tcPr>
            <w:tcW w:type="dxa" w:w="10166"/>
            <w:shd w:fill="F5F7FA"/>
            <w:tcBorders>
              <w:top w:val="single" w:sz="8" w:color="CBD5E1"/>
              <w:left w:val="single" w:sz="8" w:color="CBD5E1"/>
              <w:bottom w:val="single" w:sz="8" w:color="CBD5E1"/>
              <w:right w:val="single" w:sz="8" w:color="CBD5E1"/>
            </w:tcBorders>
            <w:vAlign w:val="center"/>
          </w:tcPr>
          <w:p>
            <w:pPr>
              <w:spacing w:before="100" w:after="100"/>
            </w:pPr>
            <w:r>
              <w:rPr>
                <w:rFonts w:ascii="Consolas" w:hAnsi="Consolas"/>
                <w:color w:val="263238"/>
                <w:sz w:val="18"/>
              </w:rPr>
              <w:t>export interface MoneyValue {</w:t>
            </w:r>
            <w:r>
              <w:br/>
            </w:r>
            <w:r>
              <w:rPr>
                <w:rFonts w:ascii="Consolas" w:hAnsi="Consolas"/>
                <w:color w:val="263238"/>
                <w:sz w:val="18"/>
              </w:rPr>
              <w:t xml:space="preserve">  readonly amount: string;</w:t>
            </w:r>
            <w:r>
              <w:br/>
            </w:r>
            <w:r>
              <w:rPr>
                <w:rFonts w:ascii="Consolas" w:hAnsi="Consolas"/>
                <w:color w:val="263238"/>
                <w:sz w:val="18"/>
              </w:rPr>
              <w:t xml:space="preserve">  readonly currency: string;</w:t>
            </w:r>
            <w:r>
              <w:br/>
            </w:r>
            <w:r>
              <w:rPr>
                <w:rFonts w:ascii="Consolas" w:hAnsi="Consolas"/>
                <w:color w:val="263238"/>
                <w:sz w:val="18"/>
              </w:rPr>
              <w:t>}</w:t>
            </w:r>
            <w:r>
              <w:br/>
            </w:r>
            <w:r>
              <w:rPr>
                <w:rFonts w:ascii="Consolas" w:hAnsi="Consolas"/>
                <w:color w:val="263238"/>
                <w:sz w:val="18"/>
              </w:rPr>
            </w:r>
            <w:r>
              <w:br/>
            </w:r>
            <w:r>
              <w:rPr>
                <w:rFonts w:ascii="Consolas" w:hAnsi="Consolas"/>
                <w:color w:val="263238"/>
                <w:sz w:val="18"/>
              </w:rPr>
              <w:t>export interface Capability {</w:t>
            </w:r>
            <w:r>
              <w:br/>
            </w:r>
            <w:r>
              <w:rPr>
                <w:rFonts w:ascii="Consolas" w:hAnsi="Consolas"/>
                <w:color w:val="263238"/>
                <w:sz w:val="18"/>
              </w:rPr>
              <w:t xml:space="preserve">  readonly id: string;</w:t>
            </w:r>
            <w:r>
              <w:br/>
            </w:r>
            <w:r>
              <w:rPr>
                <w:rFonts w:ascii="Consolas" w:hAnsi="Consolas"/>
                <w:color w:val="263238"/>
                <w:sz w:val="18"/>
              </w:rPr>
              <w:t xml:space="preserve">  readonly enabled: boolean;</w:t>
            </w:r>
            <w:r>
              <w:br/>
            </w:r>
            <w:r>
              <w:rPr>
                <w:rFonts w:ascii="Consolas" w:hAnsi="Consolas"/>
                <w:color w:val="263238"/>
                <w:sz w:val="18"/>
              </w:rPr>
              <w:t>}</w:t>
            </w:r>
          </w:p>
        </w:tc>
      </w:tr>
    </w:tbl>
    <w:p>
      <w:pPr>
        <w:spacing w:after="0"/>
      </w:pPr>
    </w:p>
    <w:p>
      <w:pPr>
        <w:pStyle w:val="Heading2"/>
      </w:pPr>
      <w:r>
        <w:t>5.4 Reporting Contracts Introduced in IB1</w:t>
      </w:r>
    </w:p>
    <w:p>
      <w:r>
        <w:rPr>
          <w:rFonts w:ascii="Aptos" w:hAnsi="Aptos"/>
          <w:sz w:val="24"/>
        </w:rPr>
        <w:t>Rich reporting is architecturally prepared in IB1 even though the Power BI-class reporting workspace is implemented later. The browser expresses governed datasets, metrics, dimensions, filters, drill requests and export jobs; it does not receive SQL, analytical-store credentials or unrestricted persistence access.</w:t>
      </w:r>
    </w:p>
    <w:p>
      <w:pPr>
        <w:spacing w:before="120" w:after="60"/>
      </w:pPr>
      <w:r>
        <w:rPr>
          <w:rFonts w:ascii="Aptos" w:hAnsi="Aptos"/>
          <w:b/>
          <w:color w:val="0E2E53"/>
          <w:sz w:val="20"/>
        </w:rPr>
        <w:t>Code Block 5. Initial reporting contract examples.</w:t>
      </w:r>
    </w:p>
    <w:tbl>
      <w:tblPr>
        <w:tblW w:type="auto" w:w="0"/>
        <w:jc w:val="center"/>
        <w:tblLayout w:type="fixed"/>
        <w:tblLook w:firstColumn="1" w:firstRow="1" w:lastColumn="0" w:lastRow="0" w:noHBand="0" w:noVBand="1" w:val="04A0"/>
      </w:tblPr>
      <w:tblGrid>
        <w:gridCol w:w="9576"/>
      </w:tblGrid>
      <w:tr>
        <w:tc>
          <w:tcPr>
            <w:tcW w:type="dxa" w:w="10166"/>
            <w:shd w:fill="F5F7FA"/>
            <w:tcBorders>
              <w:top w:val="single" w:sz="8" w:color="CBD5E1"/>
              <w:left w:val="single" w:sz="8" w:color="CBD5E1"/>
              <w:bottom w:val="single" w:sz="8" w:color="CBD5E1"/>
              <w:right w:val="single" w:sz="8" w:color="CBD5E1"/>
            </w:tcBorders>
            <w:vAlign w:val="center"/>
          </w:tcPr>
          <w:p>
            <w:pPr>
              <w:spacing w:before="100" w:after="100"/>
            </w:pPr>
            <w:r>
              <w:rPr>
                <w:rFonts w:ascii="Consolas" w:hAnsi="Consolas"/>
                <w:color w:val="263238"/>
                <w:sz w:val="18"/>
              </w:rPr>
              <w:t>export interface MetricDefinition {</w:t>
            </w:r>
            <w:r>
              <w:br/>
            </w:r>
            <w:r>
              <w:rPr>
                <w:rFonts w:ascii="Consolas" w:hAnsi="Consolas"/>
                <w:color w:val="263238"/>
                <w:sz w:val="18"/>
              </w:rPr>
              <w:t xml:space="preserve">  readonly id: string;</w:t>
            </w:r>
            <w:r>
              <w:br/>
            </w:r>
            <w:r>
              <w:rPr>
                <w:rFonts w:ascii="Consolas" w:hAnsi="Consolas"/>
                <w:color w:val="263238"/>
                <w:sz w:val="18"/>
              </w:rPr>
              <w:t xml:space="preserve">  readonly labelKey: string;</w:t>
            </w:r>
            <w:r>
              <w:br/>
            </w:r>
            <w:r>
              <w:rPr>
                <w:rFonts w:ascii="Consolas" w:hAnsi="Consolas"/>
                <w:color w:val="263238"/>
                <w:sz w:val="18"/>
              </w:rPr>
              <w:t xml:space="preserve">  readonly valueType: 'number' | 'currency' | 'percentage' | 'duration';</w:t>
            </w:r>
            <w:r>
              <w:br/>
            </w:r>
            <w:r>
              <w:rPr>
                <w:rFonts w:ascii="Consolas" w:hAnsi="Consolas"/>
                <w:color w:val="263238"/>
                <w:sz w:val="18"/>
              </w:rPr>
              <w:t xml:space="preserve">  readonly aggregation: 'sum' | 'average' | 'min' | 'max' | 'count' | 'custom';</w:t>
            </w:r>
            <w:r>
              <w:br/>
            </w:r>
            <w:r>
              <w:rPr>
                <w:rFonts w:ascii="Consolas" w:hAnsi="Consolas"/>
                <w:color w:val="263238"/>
                <w:sz w:val="18"/>
              </w:rPr>
              <w:t>}</w:t>
            </w:r>
            <w:r>
              <w:br/>
            </w:r>
            <w:r>
              <w:rPr>
                <w:rFonts w:ascii="Consolas" w:hAnsi="Consolas"/>
                <w:color w:val="263238"/>
                <w:sz w:val="18"/>
              </w:rPr>
            </w:r>
            <w:r>
              <w:br/>
            </w:r>
            <w:r>
              <w:rPr>
                <w:rFonts w:ascii="Consolas" w:hAnsi="Consolas"/>
                <w:color w:val="263238"/>
                <w:sz w:val="18"/>
              </w:rPr>
              <w:t>export interface ReportQuery {</w:t>
            </w:r>
            <w:r>
              <w:br/>
            </w:r>
            <w:r>
              <w:rPr>
                <w:rFonts w:ascii="Consolas" w:hAnsi="Consolas"/>
                <w:color w:val="263238"/>
                <w:sz w:val="18"/>
              </w:rPr>
              <w:t xml:space="preserve">  readonly datasetId: string;</w:t>
            </w:r>
            <w:r>
              <w:br/>
            </w:r>
            <w:r>
              <w:rPr>
                <w:rFonts w:ascii="Consolas" w:hAnsi="Consolas"/>
                <w:color w:val="263238"/>
                <w:sz w:val="18"/>
              </w:rPr>
              <w:t xml:space="preserve">  readonly metrics: readonly string[];</w:t>
            </w:r>
            <w:r>
              <w:br/>
            </w:r>
            <w:r>
              <w:rPr>
                <w:rFonts w:ascii="Consolas" w:hAnsi="Consolas"/>
                <w:color w:val="263238"/>
                <w:sz w:val="18"/>
              </w:rPr>
              <w:t xml:space="preserve">  readonly dimensions: readonly string[];</w:t>
            </w:r>
            <w:r>
              <w:br/>
            </w:r>
            <w:r>
              <w:rPr>
                <w:rFonts w:ascii="Consolas" w:hAnsi="Consolas"/>
                <w:color w:val="263238"/>
                <w:sz w:val="18"/>
              </w:rPr>
              <w:t xml:space="preserve">  readonly filters: readonly ReportFilter[];</w:t>
            </w:r>
            <w:r>
              <w:br/>
            </w:r>
            <w:r>
              <w:rPr>
                <w:rFonts w:ascii="Consolas" w:hAnsi="Consolas"/>
                <w:color w:val="263238"/>
                <w:sz w:val="18"/>
              </w:rPr>
              <w:t>}</w:t>
            </w:r>
            <w:r>
              <w:br/>
            </w:r>
            <w:r>
              <w:rPr>
                <w:rFonts w:ascii="Consolas" w:hAnsi="Consolas"/>
                <w:color w:val="263238"/>
                <w:sz w:val="18"/>
              </w:rPr>
            </w:r>
            <w:r>
              <w:br/>
            </w:r>
            <w:r>
              <w:rPr>
                <w:rFonts w:ascii="Consolas" w:hAnsi="Consolas"/>
                <w:color w:val="263238"/>
                <w:sz w:val="18"/>
              </w:rPr>
              <w:t>export interface ReportingGateway {</w:t>
            </w:r>
            <w:r>
              <w:br/>
            </w:r>
            <w:r>
              <w:rPr>
                <w:rFonts w:ascii="Consolas" w:hAnsi="Consolas"/>
                <w:color w:val="263238"/>
                <w:sz w:val="18"/>
              </w:rPr>
              <w:t xml:space="preserve">  execute(query: ReportQuery): Promise&lt;ReportResult&gt;;</w:t>
            </w:r>
            <w:r>
              <w:br/>
            </w:r>
            <w:r>
              <w:rPr>
                <w:rFonts w:ascii="Consolas" w:hAnsi="Consolas"/>
                <w:color w:val="263238"/>
                <w:sz w:val="18"/>
              </w:rPr>
              <w:t xml:space="preserve">  export(request: ExportRequest): Promise&lt;ExportJob&gt;;</w:t>
            </w:r>
            <w:r>
              <w:br/>
            </w:r>
            <w:r>
              <w:rPr>
                <w:rFonts w:ascii="Consolas" w:hAnsi="Consolas"/>
                <w:color w:val="263238"/>
                <w:sz w:val="18"/>
              </w:rPr>
              <w:t>}</w:t>
            </w:r>
          </w:p>
        </w:tc>
      </w:tr>
    </w:tbl>
    <w:p>
      <w:pPr>
        <w:spacing w:after="0"/>
      </w:pPr>
    </w:p>
    <w:p>
      <w:pPr>
        <w:pStyle w:val="BodyText"/>
        <w:spacing w:before="0" w:after="80"/>
      </w:pPr>
      <w:r>
        <w:rPr>
          <w:rFonts w:ascii="Aptos" w:hAnsi="Aptos"/>
          <w:b/>
          <w:sz w:val="24"/>
        </w:rPr>
        <w:t xml:space="preserve">(i) </w:t>
      </w:r>
      <w:r>
        <w:rPr>
          <w:rFonts w:ascii="Aptos" w:hAnsi="Aptos"/>
          <w:sz w:val="24"/>
        </w:rPr>
        <w:t>Reporting contracts describe governed datasets, metrics, dimensions, filters, drill context and export intent rather than database implementation details.</w:t>
      </w:r>
    </w:p>
    <w:p>
      <w:pPr>
        <w:pStyle w:val="BodyText"/>
        <w:spacing w:before="0" w:after="80"/>
      </w:pPr>
      <w:r>
        <w:rPr>
          <w:rFonts w:ascii="Aptos" w:hAnsi="Aptos"/>
          <w:b/>
          <w:sz w:val="24"/>
        </w:rPr>
        <w:t xml:space="preserve">(ii) </w:t>
      </w:r>
      <w:r>
        <w:rPr>
          <w:rFonts w:ascii="Aptos" w:hAnsi="Aptos"/>
          <w:sz w:val="24"/>
        </w:rPr>
        <w:t>Operational reporting will later resolve through bounded PMRA/product reporting APIs; historical or cross-domain analytics may resolve through an approved reporting service and curated analytical store when justified.</w:t>
      </w:r>
    </w:p>
    <w:p>
      <w:pPr>
        <w:pStyle w:val="BodyText"/>
        <w:spacing w:before="0" w:after="80"/>
      </w:pPr>
      <w:r>
        <w:rPr>
          <w:rFonts w:ascii="Aptos" w:hAnsi="Aptos"/>
          <w:b/>
          <w:sz w:val="24"/>
        </w:rPr>
        <w:t xml:space="preserve">(iii) </w:t>
      </w:r>
      <w:r>
        <w:rPr>
          <w:rFonts w:ascii="Aptos" w:hAnsi="Aptos"/>
          <w:sz w:val="24"/>
        </w:rPr>
        <w:t>Power BI or another external BI system may be introduced later through an optional adapter, but no external BI product becomes a mandatory PAEP runtime dependency.</w:t>
      </w:r>
    </w:p>
    <w:p>
      <w:pPr>
        <w:pStyle w:val="BodyText"/>
        <w:spacing w:before="0" w:after="80"/>
      </w:pPr>
      <w:r>
        <w:rPr>
          <w:rFonts w:ascii="Aptos" w:hAnsi="Aptos"/>
          <w:b/>
          <w:sz w:val="24"/>
        </w:rPr>
        <w:t xml:space="preserve">(iv) </w:t>
      </w:r>
      <w:r>
        <w:rPr>
          <w:rFonts w:ascii="Aptos" w:hAnsi="Aptos"/>
          <w:sz w:val="24"/>
        </w:rPr>
        <w:t>Tenant, row/field security, metric definitions, aggregation and export authorization remain server-governed.</w:t>
      </w:r>
    </w:p>
    <w:p>
      <w:pPr>
        <w:pStyle w:val="Heading2"/>
      </w:pPr>
      <w:r>
        <w:t>5.5 Runtime Configuration and Safe Bootstrap</w:t>
      </w:r>
    </w:p>
    <w:p>
      <w:pPr>
        <w:spacing w:before="160" w:after="60"/>
        <w:jc w:val="center"/>
      </w:pPr>
      <w:r>
        <w:rPr>
          <w:rFonts w:ascii="Aptos" w:hAnsi="Aptos"/>
          <w:sz w:val="24"/>
        </w:rPr>
        <w:drawing>
          <wp:inline xmlns:a="http://schemas.openxmlformats.org/drawingml/2006/main" xmlns:pic="http://schemas.openxmlformats.org/drawingml/2006/picture">
            <wp:extent cx="5760720" cy="3093820"/>
            <wp:docPr id="4" name="Picture 4"/>
            <wp:cNvGraphicFramePr>
              <a:graphicFrameLocks noChangeAspect="1"/>
            </wp:cNvGraphicFramePr>
            <a:graphic>
              <a:graphicData uri="http://schemas.openxmlformats.org/drawingml/2006/picture">
                <pic:pic>
                  <pic:nvPicPr>
                    <pic:cNvPr id="0" name="fig3_runtime.png"/>
                    <pic:cNvPicPr/>
                  </pic:nvPicPr>
                  <pic:blipFill>
                    <a:blip r:embed="rId14"/>
                    <a:stretch>
                      <a:fillRect/>
                    </a:stretch>
                  </pic:blipFill>
                  <pic:spPr>
                    <a:xfrm>
                      <a:off x="0" y="0"/>
                      <a:ext cx="5760720" cy="3093820"/>
                    </a:xfrm>
                    <a:prstGeom prst="rect"/>
                  </pic:spPr>
                </pic:pic>
              </a:graphicData>
            </a:graphic>
          </wp:inline>
        </w:drawing>
      </w:r>
    </w:p>
    <w:p>
      <w:pPr>
        <w:spacing w:after="160"/>
        <w:jc w:val="center"/>
      </w:pPr>
      <w:r>
        <w:rPr>
          <w:rFonts w:ascii="Aptos" w:hAnsi="Aptos"/>
          <w:i/>
          <w:color w:val="667085"/>
          <w:sz w:val="19"/>
        </w:rPr>
        <w:t>Figure 3. Versioned runtime configuration validation and fail-safe bootstrap sequence.</w:t>
      </w:r>
    </w:p>
    <w:p>
      <w:r>
        <w:rPr>
          <w:rFonts w:ascii="Aptos" w:hAnsi="Aptos"/>
          <w:sz w:val="24"/>
        </w:rPr>
        <w:t>IB1 shall implement a versioned runtime configuration schema and generated validator. Environment-specific public settings are supplied at deployment/runtime where practical so the same approved frontend artifact can move across development, test, SaaS, private-cloud and on-premise profiles without source forks.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E2E53"/>
            <w:vAlign w:val="center"/>
          </w:tcPr>
          <w:p>
            <w:pPr>
              <w:jc w:val="left"/>
            </w:pPr>
            <w:r>
              <w:rPr>
                <w:rFonts w:ascii="Aptos" w:hAnsi="Aptos"/>
                <w:b/>
                <w:color w:val="FFFFFF"/>
                <w:sz w:val="20"/>
              </w:rPr>
              <w:t>Configuration area</w:t>
            </w:r>
          </w:p>
        </w:tc>
        <w:tc>
          <w:tcPr>
            <w:tcW w:type="dxa" w:w="7416"/>
            <w:shd w:fill="0E2E53"/>
            <w:vAlign w:val="center"/>
          </w:tcPr>
          <w:p>
            <w:pPr>
              <w:jc w:val="left"/>
            </w:pPr>
            <w:r>
              <w:rPr>
                <w:rFonts w:ascii="Aptos" w:hAnsi="Aptos"/>
                <w:b/>
                <w:color w:val="FFFFFF"/>
                <w:sz w:val="20"/>
              </w:rPr>
              <w:t>Representative content</w:t>
            </w:r>
          </w:p>
        </w:tc>
      </w:tr>
      <w:tr>
        <w:tc>
          <w:tcPr>
            <w:tcW w:type="dxa" w:w="2160"/>
            <w:vAlign w:val="top"/>
          </w:tcPr>
          <w:p>
            <w:pPr>
              <w:spacing w:after="20"/>
            </w:pPr>
            <w:r>
              <w:rPr>
                <w:rFonts w:ascii="Aptos" w:hAnsi="Aptos"/>
                <w:color w:val="122033"/>
                <w:sz w:val="20"/>
              </w:rPr>
              <w:t>Product</w:t>
            </w:r>
          </w:p>
        </w:tc>
        <w:tc>
          <w:tcPr>
            <w:tcW w:type="dxa" w:w="7416"/>
            <w:vAlign w:val="top"/>
          </w:tcPr>
          <w:p>
            <w:pPr>
              <w:spacing w:after="20"/>
            </w:pPr>
            <w:r>
              <w:rPr>
                <w:rFonts w:ascii="Aptos" w:hAnsi="Aptos"/>
                <w:color w:val="122033"/>
                <w:sz w:val="20"/>
              </w:rPr>
              <w:t>Product ID, display name, release, brand profile and product manifest references.</w:t>
            </w:r>
          </w:p>
        </w:tc>
      </w:tr>
      <w:tr>
        <w:tc>
          <w:tcPr>
            <w:tcW w:type="dxa" w:w="2160"/>
            <w:vAlign w:val="top"/>
            <w:shd w:fill="F8FAFC"/>
          </w:tcPr>
          <w:p>
            <w:pPr>
              <w:spacing w:after="20"/>
            </w:pPr>
            <w:r>
              <w:rPr>
                <w:rFonts w:ascii="Aptos" w:hAnsi="Aptos"/>
                <w:color w:val="122033"/>
                <w:sz w:val="20"/>
              </w:rPr>
              <w:t>Deployment</w:t>
            </w:r>
          </w:p>
        </w:tc>
        <w:tc>
          <w:tcPr>
            <w:tcW w:type="dxa" w:w="7416"/>
            <w:vAlign w:val="top"/>
            <w:shd w:fill="F8FAFC"/>
          </w:tcPr>
          <w:p>
            <w:pPr>
              <w:spacing w:after="20"/>
            </w:pPr>
            <w:r>
              <w:rPr>
                <w:rFonts w:ascii="Aptos" w:hAnsi="Aptos"/>
                <w:color w:val="122033"/>
                <w:sz w:val="20"/>
              </w:rPr>
              <w:t>Environment, deployment profile, base path and approved public origins.</w:t>
            </w:r>
          </w:p>
        </w:tc>
      </w:tr>
      <w:tr>
        <w:tc>
          <w:tcPr>
            <w:tcW w:type="dxa" w:w="2160"/>
            <w:vAlign w:val="top"/>
          </w:tcPr>
          <w:p>
            <w:pPr>
              <w:spacing w:after="20"/>
            </w:pPr>
            <w:r>
              <w:rPr>
                <w:rFonts w:ascii="Aptos" w:hAnsi="Aptos"/>
                <w:color w:val="122033"/>
                <w:sz w:val="20"/>
              </w:rPr>
              <w:t>Backend</w:t>
            </w:r>
          </w:p>
        </w:tc>
        <w:tc>
          <w:tcPr>
            <w:tcW w:type="dxa" w:w="7416"/>
            <w:vAlign w:val="top"/>
          </w:tcPr>
          <w:p>
            <w:pPr>
              <w:spacing w:after="20"/>
            </w:pPr>
            <w:r>
              <w:rPr>
                <w:rFonts w:ascii="Aptos" w:hAnsi="Aptos"/>
                <w:color w:val="122033"/>
                <w:sz w:val="20"/>
              </w:rPr>
              <w:t>API base, realtime endpoint, file endpoint and public compatibility metadata.</w:t>
            </w:r>
          </w:p>
        </w:tc>
      </w:tr>
      <w:tr>
        <w:tc>
          <w:tcPr>
            <w:tcW w:type="dxa" w:w="2160"/>
            <w:vAlign w:val="top"/>
            <w:shd w:fill="F8FAFC"/>
          </w:tcPr>
          <w:p>
            <w:pPr>
              <w:spacing w:after="20"/>
            </w:pPr>
            <w:r>
              <w:rPr>
                <w:rFonts w:ascii="Aptos" w:hAnsi="Aptos"/>
                <w:color w:val="122033"/>
                <w:sz w:val="20"/>
              </w:rPr>
              <w:t>Identity</w:t>
            </w:r>
          </w:p>
        </w:tc>
        <w:tc>
          <w:tcPr>
            <w:tcW w:type="dxa" w:w="7416"/>
            <w:vAlign w:val="top"/>
            <w:shd w:fill="F8FAFC"/>
          </w:tcPr>
          <w:p>
            <w:pPr>
              <w:spacing w:after="20"/>
            </w:pPr>
            <w:r>
              <w:rPr>
                <w:rFonts w:ascii="Aptos" w:hAnsi="Aptos"/>
                <w:color w:val="122033"/>
                <w:sz w:val="20"/>
              </w:rPr>
              <w:t>Authentication mode and non-secret identity-provider metadata.</w:t>
            </w:r>
          </w:p>
        </w:tc>
      </w:tr>
      <w:tr>
        <w:tc>
          <w:tcPr>
            <w:tcW w:type="dxa" w:w="2160"/>
            <w:vAlign w:val="top"/>
          </w:tcPr>
          <w:p>
            <w:pPr>
              <w:spacing w:after="20"/>
            </w:pPr>
            <w:r>
              <w:rPr>
                <w:rFonts w:ascii="Aptos" w:hAnsi="Aptos"/>
                <w:color w:val="122033"/>
                <w:sz w:val="20"/>
              </w:rPr>
              <w:t>Localisation</w:t>
            </w:r>
          </w:p>
        </w:tc>
        <w:tc>
          <w:tcPr>
            <w:tcW w:type="dxa" w:w="7416"/>
            <w:vAlign w:val="top"/>
          </w:tcPr>
          <w:p>
            <w:pPr>
              <w:spacing w:after="20"/>
            </w:pPr>
            <w:r>
              <w:rPr>
                <w:rFonts w:ascii="Aptos" w:hAnsi="Aptos"/>
                <w:color w:val="122033"/>
                <w:sz w:val="20"/>
              </w:rPr>
              <w:t>Default locale, supported locales, currency/timezone context and RTL activation.</w:t>
            </w:r>
          </w:p>
        </w:tc>
      </w:tr>
      <w:tr>
        <w:tc>
          <w:tcPr>
            <w:tcW w:type="dxa" w:w="2160"/>
            <w:vAlign w:val="top"/>
            <w:shd w:fill="F8FAFC"/>
          </w:tcPr>
          <w:p>
            <w:pPr>
              <w:spacing w:after="20"/>
            </w:pPr>
            <w:r>
              <w:rPr>
                <w:rFonts w:ascii="Aptos" w:hAnsi="Aptos"/>
                <w:color w:val="122033"/>
                <w:sz w:val="20"/>
              </w:rPr>
              <w:t>Capabilities</w:t>
            </w:r>
          </w:p>
        </w:tc>
        <w:tc>
          <w:tcPr>
            <w:tcW w:type="dxa" w:w="7416"/>
            <w:vAlign w:val="top"/>
            <w:shd w:fill="F8FAFC"/>
          </w:tcPr>
          <w:p>
            <w:pPr>
              <w:spacing w:after="20"/>
            </w:pPr>
            <w:r>
              <w:rPr>
                <w:rFonts w:ascii="Aptos" w:hAnsi="Aptos"/>
                <w:color w:val="122033"/>
                <w:sz w:val="20"/>
              </w:rPr>
              <w:t>Capability discovery mode and UI hints; never authority grants.</w:t>
            </w:r>
          </w:p>
        </w:tc>
      </w:tr>
      <w:tr>
        <w:tc>
          <w:tcPr>
            <w:tcW w:type="dxa" w:w="2160"/>
            <w:vAlign w:val="top"/>
          </w:tcPr>
          <w:p>
            <w:pPr>
              <w:spacing w:after="20"/>
            </w:pPr>
            <w:r>
              <w:rPr>
                <w:rFonts w:ascii="Aptos" w:hAnsi="Aptos"/>
                <w:color w:val="122033"/>
                <w:sz w:val="20"/>
              </w:rPr>
              <w:t>Telemetry</w:t>
            </w:r>
          </w:p>
        </w:tc>
        <w:tc>
          <w:tcPr>
            <w:tcW w:type="dxa" w:w="7416"/>
            <w:vAlign w:val="top"/>
          </w:tcPr>
          <w:p>
            <w:pPr>
              <w:spacing w:after="20"/>
            </w:pPr>
            <w:r>
              <w:rPr>
                <w:rFonts w:ascii="Aptos" w:hAnsi="Aptos"/>
                <w:color w:val="122033"/>
                <w:sz w:val="20"/>
              </w:rPr>
              <w:t>Enabled state, public endpoint and release/environment identifiers.</w:t>
            </w:r>
          </w:p>
        </w:tc>
      </w:tr>
      <w:tr>
        <w:tc>
          <w:tcPr>
            <w:tcW w:type="dxa" w:w="2160"/>
            <w:vAlign w:val="top"/>
            <w:shd w:fill="F8FAFC"/>
          </w:tcPr>
          <w:p>
            <w:pPr>
              <w:spacing w:after="20"/>
            </w:pPr>
            <w:r>
              <w:rPr>
                <w:rFonts w:ascii="Aptos" w:hAnsi="Aptos"/>
                <w:color w:val="122033"/>
                <w:sz w:val="20"/>
              </w:rPr>
              <w:t>Analytics</w:t>
            </w:r>
          </w:p>
        </w:tc>
        <w:tc>
          <w:tcPr>
            <w:tcW w:type="dxa" w:w="7416"/>
            <w:vAlign w:val="top"/>
            <w:shd w:fill="F8FAFC"/>
          </w:tcPr>
          <w:p>
            <w:pPr>
              <w:spacing w:after="20"/>
            </w:pPr>
            <w:r>
              <w:rPr>
                <w:rFonts w:ascii="Aptos" w:hAnsi="Aptos"/>
                <w:color w:val="122033"/>
                <w:sz w:val="20"/>
              </w:rPr>
              <w:t>Reporting endpoint, approved reporting mode and optional external-BI provider descriptor.</w:t>
            </w:r>
          </w:p>
        </w:tc>
      </w:tr>
      <w:tr>
        <w:tc>
          <w:tcPr>
            <w:tcW w:type="dxa" w:w="2160"/>
            <w:vAlign w:val="top"/>
          </w:tcPr>
          <w:p>
            <w:pPr>
              <w:spacing w:after="20"/>
            </w:pPr>
            <w:r>
              <w:rPr>
                <w:rFonts w:ascii="Aptos" w:hAnsi="Aptos"/>
                <w:color w:val="122033"/>
                <w:sz w:val="20"/>
              </w:rPr>
              <w:t>PWA</w:t>
            </w:r>
          </w:p>
        </w:tc>
        <w:tc>
          <w:tcPr>
            <w:tcW w:type="dxa" w:w="7416"/>
            <w:vAlign w:val="top"/>
          </w:tcPr>
          <w:p>
            <w:pPr>
              <w:spacing w:after="20"/>
            </w:pPr>
            <w:r>
              <w:rPr>
                <w:rFonts w:ascii="Aptos" w:hAnsi="Aptos"/>
                <w:color w:val="122033"/>
                <w:sz w:val="20"/>
              </w:rPr>
              <w:t>Offline profile and cache/update policy identifiers.</w:t>
            </w:r>
          </w:p>
        </w:tc>
      </w:tr>
      <w:tr>
        <w:tc>
          <w:tcPr>
            <w:tcW w:type="dxa" w:w="2160"/>
            <w:vAlign w:val="top"/>
            <w:shd w:fill="F8FAFC"/>
          </w:tcPr>
          <w:p>
            <w:pPr>
              <w:spacing w:after="20"/>
            </w:pPr>
            <w:r>
              <w:rPr>
                <w:rFonts w:ascii="Aptos" w:hAnsi="Aptos"/>
                <w:color w:val="122033"/>
                <w:sz w:val="20"/>
              </w:rPr>
              <w:t>Security</w:t>
            </w:r>
          </w:p>
        </w:tc>
        <w:tc>
          <w:tcPr>
            <w:tcW w:type="dxa" w:w="7416"/>
            <w:vAlign w:val="top"/>
            <w:shd w:fill="F8FAFC"/>
          </w:tcPr>
          <w:p>
            <w:pPr>
              <w:spacing w:after="20"/>
            </w:pPr>
            <w:r>
              <w:rPr>
                <w:rFonts w:ascii="Aptos" w:hAnsi="Aptos"/>
                <w:color w:val="122033"/>
                <w:sz w:val="20"/>
              </w:rPr>
              <w:t>CSP profile, Trusted Types policy identifier and other non-secret client security settings.</w:t>
            </w:r>
          </w:p>
        </w:tc>
      </w:tr>
    </w:tbl>
    <w:p>
      <w:pPr>
        <w:spacing w:after="40"/>
      </w:pPr>
    </w:p>
    <w:p>
      <w:pPr>
        <w:pStyle w:val="BodyText"/>
        <w:spacing w:before="0" w:after="80"/>
      </w:pPr>
      <w:r>
        <w:rPr>
          <w:rFonts w:ascii="Aptos" w:hAnsi="Aptos"/>
          <w:b/>
          <w:sz w:val="24"/>
        </w:rPr>
        <w:t xml:space="preserve">(i) </w:t>
      </w:r>
      <w:r>
        <w:rPr>
          <w:rFonts w:ascii="Aptos" w:hAnsi="Aptos"/>
          <w:sz w:val="24"/>
        </w:rPr>
        <w:t>Runtime configuration shall never contain database passwords, private keys, privileged credentials, BI access tokens or server secrets.</w:t>
      </w:r>
    </w:p>
    <w:p>
      <w:pPr>
        <w:pStyle w:val="BodyText"/>
        <w:spacing w:before="0" w:after="80"/>
      </w:pPr>
      <w:r>
        <w:rPr>
          <w:rFonts w:ascii="Aptos" w:hAnsi="Aptos"/>
          <w:b/>
          <w:sz w:val="24"/>
        </w:rPr>
        <w:t xml:space="preserve">(ii) </w:t>
      </w:r>
      <w:r>
        <w:rPr>
          <w:rFonts w:ascii="Aptos" w:hAnsi="Aptos"/>
          <w:sz w:val="24"/>
        </w:rPr>
        <w:t>Configuration validation shall occur before protected application composition.</w:t>
      </w:r>
    </w:p>
    <w:p>
      <w:pPr>
        <w:pStyle w:val="BodyText"/>
        <w:spacing w:before="0" w:after="80"/>
      </w:pPr>
      <w:r>
        <w:rPr>
          <w:rFonts w:ascii="Aptos" w:hAnsi="Aptos"/>
          <w:b/>
          <w:sz w:val="24"/>
        </w:rPr>
        <w:t xml:space="preserve">(iii) </w:t>
      </w:r>
      <w:r>
        <w:rPr>
          <w:rFonts w:ascii="Aptos" w:hAnsi="Aptos"/>
          <w:sz w:val="24"/>
        </w:rPr>
        <w:t>Invalid or incompatible configuration shall fail closed and present controlled diagnostic information rather than silently falling back to unsafe defaults.</w:t>
      </w:r>
    </w:p>
    <w:p>
      <w:pPr>
        <w:pStyle w:val="BodyText"/>
        <w:spacing w:before="0" w:after="80"/>
      </w:pPr>
      <w:r>
        <w:rPr>
          <w:rFonts w:ascii="Aptos" w:hAnsi="Aptos"/>
          <w:b/>
          <w:sz w:val="24"/>
        </w:rPr>
        <w:t xml:space="preserve">(iv) </w:t>
      </w:r>
      <w:r>
        <w:rPr>
          <w:rFonts w:ascii="Aptos" w:hAnsi="Aptos"/>
          <w:sz w:val="24"/>
        </w:rPr>
        <w:t>Validated configuration shall be exposed to the application through an immutable runtime configuration service/store.</w:t>
      </w:r>
    </w:p>
    <w:p>
      <w:pPr>
        <w:pStyle w:val="BodyText"/>
        <w:spacing w:before="0" w:after="80"/>
      </w:pPr>
      <w:r>
        <w:rPr>
          <w:rFonts w:ascii="Aptos" w:hAnsi="Aptos"/>
          <w:b/>
          <w:sz w:val="24"/>
        </w:rPr>
        <w:t xml:space="preserve">(v) </w:t>
      </w:r>
      <w:r>
        <w:rPr>
          <w:rFonts w:ascii="Aptos" w:hAnsi="Aptos"/>
          <w:sz w:val="24"/>
        </w:rPr>
        <w:t>Feature flags and edition hints may alter presentation but shall not grant backend authority.</w:t>
      </w:r>
    </w:p>
    <w:p>
      <w:pPr>
        <w:pStyle w:val="Heading2"/>
      </w:pPr>
      <w:r>
        <w:t>5.6 IB1 Work Packages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0E2E53"/>
            <w:vAlign w:val="center"/>
          </w:tcPr>
          <w:p>
            <w:pPr>
              <w:jc w:val="left"/>
            </w:pPr>
            <w:r>
              <w:rPr>
                <w:rFonts w:ascii="Aptos" w:hAnsi="Aptos"/>
                <w:b/>
                <w:color w:val="FFFFFF"/>
                <w:sz w:val="19"/>
              </w:rPr>
              <w:t>Work package</w:t>
            </w:r>
          </w:p>
        </w:tc>
        <w:tc>
          <w:tcPr>
            <w:tcW w:type="dxa" w:w="5328"/>
            <w:shd w:fill="0E2E53"/>
            <w:vAlign w:val="center"/>
          </w:tcPr>
          <w:p>
            <w:pPr>
              <w:jc w:val="left"/>
            </w:pPr>
            <w:r>
              <w:rPr>
                <w:rFonts w:ascii="Aptos" w:hAnsi="Aptos"/>
                <w:b/>
                <w:color w:val="FFFFFF"/>
                <w:sz w:val="19"/>
              </w:rPr>
              <w:t>Implementation activity</w:t>
            </w:r>
          </w:p>
        </w:tc>
        <w:tc>
          <w:tcPr>
            <w:tcW w:type="dxa" w:w="2736"/>
            <w:shd w:fill="0E2E53"/>
            <w:vAlign w:val="center"/>
          </w:tcPr>
          <w:p>
            <w:pPr>
              <w:jc w:val="left"/>
            </w:pPr>
            <w:r>
              <w:rPr>
                <w:rFonts w:ascii="Aptos" w:hAnsi="Aptos"/>
                <w:b/>
                <w:color w:val="FFFFFF"/>
                <w:sz w:val="19"/>
              </w:rPr>
              <w:t>Required evidence</w:t>
            </w:r>
          </w:p>
        </w:tc>
      </w:tr>
      <w:tr>
        <w:tc>
          <w:tcPr>
            <w:tcW w:type="dxa" w:w="1440"/>
            <w:vAlign w:val="top"/>
          </w:tcPr>
          <w:p>
            <w:pPr>
              <w:spacing w:after="20"/>
            </w:pPr>
            <w:r>
              <w:rPr>
                <w:rFonts w:ascii="Aptos" w:hAnsi="Aptos"/>
                <w:color w:val="122033"/>
                <w:sz w:val="19"/>
              </w:rPr>
              <w:t>IB1-WP1</w:t>
            </w:r>
          </w:p>
        </w:tc>
        <w:tc>
          <w:tcPr>
            <w:tcW w:type="dxa" w:w="5328"/>
            <w:vAlign w:val="top"/>
          </w:tcPr>
          <w:p>
            <w:pPr>
              <w:spacing w:after="20"/>
            </w:pPr>
            <w:r>
              <w:rPr>
                <w:rFonts w:ascii="Aptos" w:hAnsi="Aptos"/>
                <w:color w:val="122033"/>
                <w:sz w:val="19"/>
              </w:rPr>
              <w:t>Create @proseit/paep-contracts with public entry points and zero Angular/Frappe/DOM dependencies.</w:t>
            </w:r>
          </w:p>
        </w:tc>
        <w:tc>
          <w:tcPr>
            <w:tcW w:type="dxa" w:w="2736"/>
            <w:vAlign w:val="top"/>
          </w:tcPr>
          <w:p>
            <w:pPr>
              <w:spacing w:after="20"/>
            </w:pPr>
            <w:r>
              <w:rPr>
                <w:rFonts w:ascii="Aptos" w:hAnsi="Aptos"/>
                <w:color w:val="122033"/>
                <w:sz w:val="19"/>
              </w:rPr>
              <w:t>Independent package compilation and dependency audit.</w:t>
            </w:r>
          </w:p>
        </w:tc>
      </w:tr>
      <w:tr>
        <w:tc>
          <w:tcPr>
            <w:tcW w:type="dxa" w:w="1440"/>
            <w:vAlign w:val="top"/>
            <w:shd w:fill="F8FAFC"/>
          </w:tcPr>
          <w:p>
            <w:pPr>
              <w:spacing w:after="20"/>
            </w:pPr>
            <w:r>
              <w:rPr>
                <w:rFonts w:ascii="Aptos" w:hAnsi="Aptos"/>
                <w:color w:val="122033"/>
                <w:sz w:val="19"/>
              </w:rPr>
              <w:t>IB1-WP2</w:t>
            </w:r>
          </w:p>
        </w:tc>
        <w:tc>
          <w:tcPr>
            <w:tcW w:type="dxa" w:w="5328"/>
            <w:vAlign w:val="top"/>
            <w:shd w:fill="F8FAFC"/>
          </w:tcPr>
          <w:p>
            <w:pPr>
              <w:spacing w:after="20"/>
            </w:pPr>
            <w:r>
              <w:rPr>
                <w:rFonts w:ascii="Aptos" w:hAnsi="Aptos"/>
                <w:color w:val="122033"/>
                <w:sz w:val="19"/>
              </w:rPr>
              <w:t>Implement core, config, identity, domain and reporting contract families.</w:t>
            </w:r>
          </w:p>
        </w:tc>
        <w:tc>
          <w:tcPr>
            <w:tcW w:type="dxa" w:w="2736"/>
            <w:vAlign w:val="top"/>
            <w:shd w:fill="F8FAFC"/>
          </w:tcPr>
          <w:p>
            <w:pPr>
              <w:spacing w:after="20"/>
            </w:pPr>
            <w:r>
              <w:rPr>
                <w:rFonts w:ascii="Aptos" w:hAnsi="Aptos"/>
                <w:color w:val="122033"/>
                <w:sz w:val="19"/>
              </w:rPr>
              <w:t>Contract tests and API review.</w:t>
            </w:r>
          </w:p>
        </w:tc>
      </w:tr>
      <w:tr>
        <w:tc>
          <w:tcPr>
            <w:tcW w:type="dxa" w:w="1440"/>
            <w:vAlign w:val="top"/>
          </w:tcPr>
          <w:p>
            <w:pPr>
              <w:spacing w:after="20"/>
            </w:pPr>
            <w:r>
              <w:rPr>
                <w:rFonts w:ascii="Aptos" w:hAnsi="Aptos"/>
                <w:color w:val="122033"/>
                <w:sz w:val="19"/>
              </w:rPr>
              <w:t>IB1-WP3</w:t>
            </w:r>
          </w:p>
        </w:tc>
        <w:tc>
          <w:tcPr>
            <w:tcW w:type="dxa" w:w="5328"/>
            <w:vAlign w:val="top"/>
          </w:tcPr>
          <w:p>
            <w:pPr>
              <w:spacing w:after="20"/>
            </w:pPr>
            <w:r>
              <w:rPr>
                <w:rFonts w:ascii="Aptos" w:hAnsi="Aptos"/>
                <w:color w:val="122033"/>
                <w:sz w:val="19"/>
              </w:rPr>
              <w:t>Create versioned runtime-config.schema.json and representative valid/invalid configuration fixtures.</w:t>
            </w:r>
          </w:p>
        </w:tc>
        <w:tc>
          <w:tcPr>
            <w:tcW w:type="dxa" w:w="2736"/>
            <w:vAlign w:val="top"/>
          </w:tcPr>
          <w:p>
            <w:pPr>
              <w:spacing w:after="20"/>
            </w:pPr>
            <w:r>
              <w:rPr>
                <w:rFonts w:ascii="Aptos" w:hAnsi="Aptos"/>
                <w:color w:val="122033"/>
                <w:sz w:val="19"/>
              </w:rPr>
              <w:t>Schema and fixture set.</w:t>
            </w:r>
          </w:p>
        </w:tc>
      </w:tr>
      <w:tr>
        <w:tc>
          <w:tcPr>
            <w:tcW w:type="dxa" w:w="1440"/>
            <w:vAlign w:val="top"/>
            <w:shd w:fill="F8FAFC"/>
          </w:tcPr>
          <w:p>
            <w:pPr>
              <w:spacing w:after="20"/>
            </w:pPr>
            <w:r>
              <w:rPr>
                <w:rFonts w:ascii="Aptos" w:hAnsi="Aptos"/>
                <w:color w:val="122033"/>
                <w:sz w:val="19"/>
              </w:rPr>
              <w:t>IB1-WP4</w:t>
            </w:r>
          </w:p>
        </w:tc>
        <w:tc>
          <w:tcPr>
            <w:tcW w:type="dxa" w:w="5328"/>
            <w:vAlign w:val="top"/>
            <w:shd w:fill="F8FAFC"/>
          </w:tcPr>
          <w:p>
            <w:pPr>
              <w:spacing w:after="20"/>
            </w:pPr>
            <w:r>
              <w:rPr>
                <w:rFonts w:ascii="Aptos" w:hAnsi="Aptos"/>
                <w:color w:val="122033"/>
                <w:sz w:val="19"/>
              </w:rPr>
              <w:t>Generate/implement runtime validator and fail-safe bootstrap path.</w:t>
            </w:r>
          </w:p>
        </w:tc>
        <w:tc>
          <w:tcPr>
            <w:tcW w:type="dxa" w:w="2736"/>
            <w:vAlign w:val="top"/>
            <w:shd w:fill="F8FAFC"/>
          </w:tcPr>
          <w:p>
            <w:pPr>
              <w:spacing w:after="20"/>
            </w:pPr>
            <w:r>
              <w:rPr>
                <w:rFonts w:ascii="Aptos" w:hAnsi="Aptos"/>
                <w:color w:val="122033"/>
                <w:sz w:val="19"/>
              </w:rPr>
              <w:t>Positive and negative startup tests.</w:t>
            </w:r>
          </w:p>
        </w:tc>
      </w:tr>
      <w:tr>
        <w:tc>
          <w:tcPr>
            <w:tcW w:type="dxa" w:w="1440"/>
            <w:vAlign w:val="top"/>
          </w:tcPr>
          <w:p>
            <w:pPr>
              <w:spacing w:after="20"/>
            </w:pPr>
            <w:r>
              <w:rPr>
                <w:rFonts w:ascii="Aptos" w:hAnsi="Aptos"/>
                <w:color w:val="122033"/>
                <w:sz w:val="19"/>
              </w:rPr>
              <w:t>IB1-WP5</w:t>
            </w:r>
          </w:p>
        </w:tc>
        <w:tc>
          <w:tcPr>
            <w:tcW w:type="dxa" w:w="5328"/>
            <w:vAlign w:val="top"/>
          </w:tcPr>
          <w:p>
            <w:pPr>
              <w:spacing w:after="20"/>
            </w:pPr>
            <w:r>
              <w:rPr>
                <w:rFonts w:ascii="Aptos" w:hAnsi="Aptos"/>
                <w:color w:val="122033"/>
                <w:sz w:val="19"/>
              </w:rPr>
              <w:t>Introduce compatibility metadata and immutable RuntimeConfigStore boundary.</w:t>
            </w:r>
          </w:p>
        </w:tc>
        <w:tc>
          <w:tcPr>
            <w:tcW w:type="dxa" w:w="2736"/>
            <w:vAlign w:val="top"/>
          </w:tcPr>
          <w:p>
            <w:pPr>
              <w:spacing w:after="20"/>
            </w:pPr>
            <w:r>
              <w:rPr>
                <w:rFonts w:ascii="Aptos" w:hAnsi="Aptos"/>
                <w:color w:val="122033"/>
                <w:sz w:val="19"/>
              </w:rPr>
              <w:t>Compatibility tests; public provider contract.</w:t>
            </w:r>
          </w:p>
        </w:tc>
      </w:tr>
      <w:tr>
        <w:tc>
          <w:tcPr>
            <w:tcW w:type="dxa" w:w="1440"/>
            <w:vAlign w:val="top"/>
            <w:shd w:fill="F8FAFC"/>
          </w:tcPr>
          <w:p>
            <w:pPr>
              <w:spacing w:after="20"/>
            </w:pPr>
            <w:r>
              <w:rPr>
                <w:rFonts w:ascii="Aptos" w:hAnsi="Aptos"/>
                <w:color w:val="122033"/>
                <w:sz w:val="19"/>
              </w:rPr>
              <w:t>IB1-WP6</w:t>
            </w:r>
          </w:p>
        </w:tc>
        <w:tc>
          <w:tcPr>
            <w:tcW w:type="dxa" w:w="5328"/>
            <w:vAlign w:val="top"/>
            <w:shd w:fill="F8FAFC"/>
          </w:tcPr>
          <w:p>
            <w:pPr>
              <w:spacing w:after="20"/>
            </w:pPr>
            <w:r>
              <w:rPr>
                <w:rFonts w:ascii="Aptos" w:hAnsi="Aptos"/>
                <w:color w:val="122033"/>
                <w:sz w:val="19"/>
              </w:rPr>
              <w:t>Create contract mocks/test doubles for IB2 and later adapter development.</w:t>
            </w:r>
          </w:p>
        </w:tc>
        <w:tc>
          <w:tcPr>
            <w:tcW w:type="dxa" w:w="2736"/>
            <w:vAlign w:val="top"/>
            <w:shd w:fill="F8FAFC"/>
          </w:tcPr>
          <w:p>
            <w:pPr>
              <w:spacing w:after="20"/>
            </w:pPr>
            <w:r>
              <w:rPr>
                <w:rFonts w:ascii="Aptos" w:hAnsi="Aptos"/>
                <w:color w:val="122033"/>
                <w:sz w:val="19"/>
              </w:rPr>
              <w:t>Reusable test fixtures in tooling/test-utils.</w:t>
            </w:r>
          </w:p>
        </w:tc>
      </w:tr>
    </w:tbl>
    <w:p>
      <w:pPr>
        <w:spacing w:after="40"/>
      </w:pPr>
    </w:p>
    <w:p>
      <w:pPr>
        <w:pStyle w:val="Heading2"/>
      </w:pPr>
      <w:r>
        <w:t>5.7 IB1 Exit Criteria</w:t>
      </w:r>
    </w:p>
    <w:p>
      <w:pPr>
        <w:pStyle w:val="BodyText"/>
        <w:spacing w:before="0" w:after="80"/>
      </w:pPr>
      <w:r>
        <w:rPr>
          <w:rFonts w:ascii="Aptos" w:hAnsi="Aptos"/>
          <w:b/>
          <w:sz w:val="24"/>
        </w:rPr>
        <w:t xml:space="preserve">(i) </w:t>
      </w:r>
      <w:r>
        <w:rPr>
          <w:rFonts w:ascii="Aptos" w:hAnsi="Aptos"/>
          <w:sz w:val="24"/>
        </w:rPr>
        <w:t>@proseit/paep-contracts compiles independently with no prohibited framework or backend dependencies.</w:t>
      </w:r>
    </w:p>
    <w:p>
      <w:pPr>
        <w:pStyle w:val="BodyText"/>
        <w:spacing w:before="0" w:after="80"/>
      </w:pPr>
      <w:r>
        <w:rPr>
          <w:rFonts w:ascii="Aptos" w:hAnsi="Aptos"/>
          <w:b/>
          <w:sz w:val="24"/>
        </w:rPr>
        <w:t xml:space="preserve">(ii) </w:t>
      </w:r>
      <w:r>
        <w:rPr>
          <w:rFonts w:ascii="Aptos" w:hAnsi="Aptos"/>
          <w:sz w:val="24"/>
        </w:rPr>
        <w:t>Core and reporting contracts are documented through their public entry points and covered by deterministic tests.</w:t>
      </w:r>
    </w:p>
    <w:p>
      <w:pPr>
        <w:pStyle w:val="BodyText"/>
        <w:spacing w:before="0" w:after="80"/>
      </w:pPr>
      <w:r>
        <w:rPr>
          <w:rFonts w:ascii="Aptos" w:hAnsi="Aptos"/>
          <w:b/>
          <w:sz w:val="24"/>
        </w:rPr>
        <w:t xml:space="preserve">(iii) </w:t>
      </w:r>
      <w:r>
        <w:rPr>
          <w:rFonts w:ascii="Aptos" w:hAnsi="Aptos"/>
          <w:sz w:val="24"/>
        </w:rPr>
        <w:t>A valid runtime configuration passes schema validation and produces the immutable runtime configuration context.</w:t>
      </w:r>
    </w:p>
    <w:p>
      <w:pPr>
        <w:pStyle w:val="BodyText"/>
        <w:spacing w:before="0" w:after="80"/>
      </w:pPr>
      <w:r>
        <w:rPr>
          <w:rFonts w:ascii="Aptos" w:hAnsi="Aptos"/>
          <w:b/>
          <w:sz w:val="24"/>
        </w:rPr>
        <w:t xml:space="preserve">(iv) </w:t>
      </w:r>
      <w:r>
        <w:rPr>
          <w:rFonts w:ascii="Aptos" w:hAnsi="Aptos"/>
          <w:sz w:val="24"/>
        </w:rPr>
        <w:t>Invalid, incomplete or incompatible configuration produces the controlled fail-safe startup state.</w:t>
      </w:r>
    </w:p>
    <w:p>
      <w:pPr>
        <w:pStyle w:val="BodyText"/>
        <w:spacing w:before="0" w:after="80"/>
      </w:pPr>
      <w:r>
        <w:rPr>
          <w:rFonts w:ascii="Aptos" w:hAnsi="Aptos"/>
          <w:b/>
          <w:sz w:val="24"/>
        </w:rPr>
        <w:t xml:space="preserve">(v) </w:t>
      </w:r>
      <w:r>
        <w:rPr>
          <w:rFonts w:ascii="Aptos" w:hAnsi="Aptos"/>
          <w:sz w:val="24"/>
        </w:rPr>
        <w:t>No secret-bearing configuration is required by the browser implementation.</w:t>
      </w:r>
    </w:p>
    <w:p>
      <w:pPr>
        <w:pStyle w:val="BodyText"/>
        <w:spacing w:before="0" w:after="80"/>
      </w:pPr>
      <w:r>
        <w:rPr>
          <w:rFonts w:ascii="Aptos" w:hAnsi="Aptos"/>
          <w:b/>
          <w:sz w:val="24"/>
        </w:rPr>
        <w:t xml:space="preserve">(vi) </w:t>
      </w:r>
      <w:r>
        <w:rPr>
          <w:rFonts w:ascii="Aptos" w:hAnsi="Aptos"/>
          <w:sz w:val="24"/>
        </w:rPr>
        <w:t>IB2 can use contract mocks and validated configuration without connecting directly to ERPNext/Frappe.</w:t>
      </w:r>
    </w:p>
    <w:p>
      <w:pPr>
        <w:pStyle w:val="Heading1"/>
      </w:pPr>
      <w:r>
        <w:t>6. IB2 - Design Foundation, Core Components and UI Laboratory</w:t>
      </w:r>
    </w:p>
    <w:p>
      <w:pPr>
        <w:pStyle w:val="Heading2"/>
      </w:pPr>
      <w:r>
        <w:t>6.1 Objective</w:t>
      </w:r>
    </w:p>
    <w:p>
      <w:r>
        <w:rPr>
          <w:rFonts w:ascii="Aptos" w:hAnsi="Aptos"/>
          <w:sz w:val="24"/>
        </w:rPr>
        <w:t>IB2 makes PAEP visibly tangible by implementing the design-system foundation and a deliberately small, high-value component set. The milestone shall prove that consistency, accessibility, responsiveness and state completeness can be delivered once at platform level rather than rediscovered in each product.</w:t>
      </w:r>
    </w:p>
    <w:p>
      <w:pPr>
        <w:pStyle w:val="Heading2"/>
      </w:pPr>
      <w:r>
        <w:t>6.2 Foundation Token Model</w:t>
      </w:r>
    </w:p>
    <w:p>
      <w:pPr>
        <w:pStyle w:val="BodyText"/>
        <w:spacing w:before="0" w:after="80"/>
      </w:pPr>
      <w:r>
        <w:rPr>
          <w:rFonts w:ascii="Aptos" w:hAnsi="Aptos"/>
          <w:b/>
          <w:sz w:val="24"/>
        </w:rPr>
        <w:t xml:space="preserve">(i) </w:t>
      </w:r>
      <w:r>
        <w:rPr>
          <w:rFonts w:ascii="Aptos" w:hAnsi="Aptos"/>
          <w:sz w:val="24"/>
        </w:rPr>
        <w:t>Colour tokens shall separate semantic meaning from brand accents so success, warning, error and accessibility states cannot be overridden by product branding.</w:t>
      </w:r>
    </w:p>
    <w:p>
      <w:pPr>
        <w:pStyle w:val="BodyText"/>
        <w:spacing w:before="0" w:after="80"/>
      </w:pPr>
      <w:r>
        <w:rPr>
          <w:rFonts w:ascii="Aptos" w:hAnsi="Aptos"/>
          <w:b/>
          <w:sz w:val="24"/>
        </w:rPr>
        <w:t xml:space="preserve">(ii) </w:t>
      </w:r>
      <w:r>
        <w:rPr>
          <w:rFonts w:ascii="Aptos" w:hAnsi="Aptos"/>
          <w:sz w:val="24"/>
        </w:rPr>
        <w:t>Typography tokens shall define a controlled scale, weights, line heights and truncation/wrapping rules.</w:t>
      </w:r>
    </w:p>
    <w:p>
      <w:pPr>
        <w:pStyle w:val="BodyText"/>
        <w:spacing w:before="0" w:after="80"/>
      </w:pPr>
      <w:r>
        <w:rPr>
          <w:rFonts w:ascii="Aptos" w:hAnsi="Aptos"/>
          <w:b/>
          <w:sz w:val="24"/>
        </w:rPr>
        <w:t xml:space="preserve">(iii) </w:t>
      </w:r>
      <w:r>
        <w:rPr>
          <w:rFonts w:ascii="Aptos" w:hAnsi="Aptos"/>
          <w:sz w:val="24"/>
        </w:rPr>
        <w:t>Spacing, size, radius, elevation and density tokens shall replace ad-hoc per-screen literals.</w:t>
      </w:r>
    </w:p>
    <w:p>
      <w:pPr>
        <w:pStyle w:val="BodyText"/>
        <w:spacing w:before="0" w:after="80"/>
      </w:pPr>
      <w:r>
        <w:rPr>
          <w:rFonts w:ascii="Aptos" w:hAnsi="Aptos"/>
          <w:b/>
          <w:sz w:val="24"/>
        </w:rPr>
        <w:t xml:space="preserve">(iv) </w:t>
      </w:r>
      <w:r>
        <w:rPr>
          <w:rFonts w:ascii="Aptos" w:hAnsi="Aptos"/>
          <w:sz w:val="24"/>
        </w:rPr>
        <w:t>Motion tokens shall be bounded and shall respect reduced-motion preferences.</w:t>
      </w:r>
    </w:p>
    <w:p>
      <w:pPr>
        <w:pStyle w:val="BodyText"/>
        <w:spacing w:before="0" w:after="80"/>
      </w:pPr>
      <w:r>
        <w:rPr>
          <w:rFonts w:ascii="Aptos" w:hAnsi="Aptos"/>
          <w:b/>
          <w:sz w:val="24"/>
        </w:rPr>
        <w:t xml:space="preserve">(v) </w:t>
      </w:r>
      <w:r>
        <w:rPr>
          <w:rFonts w:ascii="Aptos" w:hAnsi="Aptos"/>
          <w:sz w:val="24"/>
        </w:rPr>
        <w:t>Breakpoint and layout tokens shall define adaptive behaviour rather than assuming a fixed desktop canvas.</w:t>
      </w:r>
    </w:p>
    <w:p>
      <w:pPr>
        <w:pStyle w:val="BodyText"/>
        <w:spacing w:before="0" w:after="80"/>
      </w:pPr>
      <w:r>
        <w:rPr>
          <w:rFonts w:ascii="Aptos" w:hAnsi="Aptos"/>
          <w:b/>
          <w:sz w:val="24"/>
        </w:rPr>
        <w:t xml:space="preserve">(vi) </w:t>
      </w:r>
      <w:r>
        <w:rPr>
          <w:rFonts w:ascii="Aptos" w:hAnsi="Aptos"/>
          <w:sz w:val="24"/>
        </w:rPr>
        <w:t>Focus and state tokens shall ensure keyboard focus and interaction states remain visually consistent and testable.</w:t>
      </w:r>
    </w:p>
    <w:p>
      <w:pPr>
        <w:spacing w:before="120" w:after="60"/>
      </w:pPr>
      <w:r>
        <w:rPr>
          <w:rFonts w:ascii="Aptos" w:hAnsi="Aptos"/>
          <w:b/>
          <w:color w:val="0E2E53"/>
          <w:sz w:val="20"/>
        </w:rPr>
        <w:t>Code Block 6. Preferred token-driven component styling.</w:t>
      </w:r>
    </w:p>
    <w:tbl>
      <w:tblPr>
        <w:tblW w:type="auto" w:w="0"/>
        <w:jc w:val="center"/>
        <w:tblLayout w:type="fixed"/>
        <w:tblLook w:firstColumn="1" w:firstRow="1" w:lastColumn="0" w:lastRow="0" w:noHBand="0" w:noVBand="1" w:val="04A0"/>
      </w:tblPr>
      <w:tblGrid>
        <w:gridCol w:w="9576"/>
      </w:tblGrid>
      <w:tr>
        <w:tc>
          <w:tcPr>
            <w:tcW w:type="dxa" w:w="10166"/>
            <w:shd w:fill="F5F7FA"/>
            <w:tcBorders>
              <w:top w:val="single" w:sz="8" w:color="CBD5E1"/>
              <w:left w:val="single" w:sz="8" w:color="CBD5E1"/>
              <w:bottom w:val="single" w:sz="8" w:color="CBD5E1"/>
              <w:right w:val="single" w:sz="8" w:color="CBD5E1"/>
            </w:tcBorders>
            <w:vAlign w:val="center"/>
          </w:tcPr>
          <w:p>
            <w:pPr>
              <w:spacing w:before="100" w:after="100"/>
            </w:pPr>
            <w:r>
              <w:rPr>
                <w:rFonts w:ascii="Consolas" w:hAnsi="Consolas"/>
                <w:color w:val="263238"/>
                <w:sz w:val="18"/>
              </w:rPr>
              <w:t>/* Preferred: semantic platform tokens */</w:t>
            </w:r>
            <w:r>
              <w:br/>
            </w:r>
            <w:r>
              <w:rPr>
                <w:rFonts w:ascii="Consolas" w:hAnsi="Consolas"/>
                <w:color w:val="263238"/>
                <w:sz w:val="18"/>
              </w:rPr>
              <w:t>.component {</w:t>
            </w:r>
            <w:r>
              <w:br/>
            </w:r>
            <w:r>
              <w:rPr>
                <w:rFonts w:ascii="Consolas" w:hAnsi="Consolas"/>
                <w:color w:val="263238"/>
                <w:sz w:val="18"/>
              </w:rPr>
              <w:t xml:space="preserve">  background: var(--paep-color-surface);</w:t>
            </w:r>
            <w:r>
              <w:br/>
            </w:r>
            <w:r>
              <w:rPr>
                <w:rFonts w:ascii="Consolas" w:hAnsi="Consolas"/>
                <w:color w:val="263238"/>
                <w:sz w:val="18"/>
              </w:rPr>
              <w:t xml:space="preserve">  color: var(--paep-color-text-primary);</w:t>
            </w:r>
            <w:r>
              <w:br/>
            </w:r>
            <w:r>
              <w:rPr>
                <w:rFonts w:ascii="Consolas" w:hAnsi="Consolas"/>
                <w:color w:val="263238"/>
                <w:sz w:val="18"/>
              </w:rPr>
              <w:t xml:space="preserve">  padding: var(--paep-space-3);</w:t>
            </w:r>
            <w:r>
              <w:br/>
            </w:r>
            <w:r>
              <w:rPr>
                <w:rFonts w:ascii="Consolas" w:hAnsi="Consolas"/>
                <w:color w:val="263238"/>
                <w:sz w:val="18"/>
              </w:rPr>
              <w:t xml:space="preserve">  border-radius: var(--paep-radius-md);</w:t>
            </w:r>
            <w:r>
              <w:br/>
            </w:r>
            <w:r>
              <w:rPr>
                <w:rFonts w:ascii="Consolas" w:hAnsi="Consolas"/>
                <w:color w:val="263238"/>
                <w:sz w:val="18"/>
              </w:rPr>
              <w:t>}</w:t>
            </w:r>
          </w:p>
        </w:tc>
      </w:tr>
    </w:tbl>
    <w:p>
      <w:pPr>
        <w:spacing w:after="0"/>
      </w:pPr>
    </w:p>
    <w:p>
      <w:pPr>
        <w:spacing w:before="120" w:after="60"/>
      </w:pPr>
      <w:r>
        <w:rPr>
          <w:rFonts w:ascii="Aptos" w:hAnsi="Aptos"/>
          <w:b/>
          <w:color w:val="0E2E53"/>
          <w:sz w:val="20"/>
        </w:rPr>
        <w:t>Code Block 7. Example of uncontrolled styling that should not become a reusable PAEP pattern.</w:t>
      </w:r>
    </w:p>
    <w:tbl>
      <w:tblPr>
        <w:tblW w:type="auto" w:w="0"/>
        <w:jc w:val="center"/>
        <w:tblLayout w:type="fixed"/>
        <w:tblLook w:firstColumn="1" w:firstRow="1" w:lastColumn="0" w:lastRow="0" w:noHBand="0" w:noVBand="1" w:val="04A0"/>
      </w:tblPr>
      <w:tblGrid>
        <w:gridCol w:w="9576"/>
      </w:tblGrid>
      <w:tr>
        <w:tc>
          <w:tcPr>
            <w:tcW w:type="dxa" w:w="10166"/>
            <w:shd w:fill="F5F7FA"/>
            <w:tcBorders>
              <w:top w:val="single" w:sz="8" w:color="CBD5E1"/>
              <w:left w:val="single" w:sz="8" w:color="CBD5E1"/>
              <w:bottom w:val="single" w:sz="8" w:color="CBD5E1"/>
              <w:right w:val="single" w:sz="8" w:color="CBD5E1"/>
            </w:tcBorders>
            <w:vAlign w:val="center"/>
          </w:tcPr>
          <w:p>
            <w:pPr>
              <w:spacing w:before="100" w:after="100"/>
            </w:pPr>
            <w:r>
              <w:rPr>
                <w:rFonts w:ascii="Consolas" w:hAnsi="Consolas"/>
                <w:color w:val="263238"/>
                <w:sz w:val="18"/>
              </w:rPr>
              <w:t>/* Prohibited outside controlled foundation code */</w:t>
            </w:r>
            <w:r>
              <w:br/>
            </w:r>
            <w:r>
              <w:rPr>
                <w:rFonts w:ascii="Consolas" w:hAnsi="Consolas"/>
                <w:color w:val="263238"/>
                <w:sz w:val="18"/>
              </w:rPr>
              <w:t>.component {</w:t>
            </w:r>
            <w:r>
              <w:br/>
            </w:r>
            <w:r>
              <w:rPr>
                <w:rFonts w:ascii="Consolas" w:hAnsi="Consolas"/>
                <w:color w:val="263238"/>
                <w:sz w:val="18"/>
              </w:rPr>
              <w:t xml:space="preserve">  background: #ffffff;</w:t>
            </w:r>
            <w:r>
              <w:br/>
            </w:r>
            <w:r>
              <w:rPr>
                <w:rFonts w:ascii="Consolas" w:hAnsi="Consolas"/>
                <w:color w:val="263238"/>
                <w:sz w:val="18"/>
              </w:rPr>
              <w:t xml:space="preserve">  padding: 14px;</w:t>
            </w:r>
            <w:r>
              <w:br/>
            </w:r>
            <w:r>
              <w:rPr>
                <w:rFonts w:ascii="Consolas" w:hAnsi="Consolas"/>
                <w:color w:val="263238"/>
                <w:sz w:val="18"/>
              </w:rPr>
              <w:t xml:space="preserve">  border-radius: 7px;</w:t>
            </w:r>
            <w:r>
              <w:br/>
            </w:r>
            <w:r>
              <w:rPr>
                <w:rFonts w:ascii="Consolas" w:hAnsi="Consolas"/>
                <w:color w:val="263238"/>
                <w:sz w:val="18"/>
              </w:rPr>
              <w:t>}</w:t>
            </w:r>
          </w:p>
        </w:tc>
      </w:tr>
    </w:tbl>
    <w:p>
      <w:pPr>
        <w:spacing w:after="0"/>
      </w:pPr>
    </w:p>
    <w:p>
      <w:pPr>
        <w:pStyle w:val="Heading2"/>
      </w:pPr>
      <w:r>
        <w:t>6.3 Responsive Interaction Baseline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E2E53"/>
            <w:vAlign w:val="center"/>
          </w:tcPr>
          <w:p>
            <w:pPr>
              <w:jc w:val="left"/>
            </w:pPr>
            <w:r>
              <w:rPr>
                <w:rFonts w:ascii="Aptos" w:hAnsi="Aptos"/>
                <w:b/>
                <w:color w:val="FFFFFF"/>
                <w:sz w:val="19"/>
              </w:rPr>
              <w:t>Viewport/context</w:t>
            </w:r>
          </w:p>
        </w:tc>
        <w:tc>
          <w:tcPr>
            <w:tcW w:type="dxa" w:w="7128"/>
            <w:shd w:fill="0E2E53"/>
            <w:vAlign w:val="center"/>
          </w:tcPr>
          <w:p>
            <w:pPr>
              <w:jc w:val="left"/>
            </w:pPr>
            <w:r>
              <w:rPr>
                <w:rFonts w:ascii="Aptos" w:hAnsi="Aptos"/>
                <w:b/>
                <w:color w:val="FFFFFF"/>
                <w:sz w:val="19"/>
              </w:rPr>
              <w:t>Required interaction posture</w:t>
            </w:r>
          </w:p>
        </w:tc>
      </w:tr>
      <w:tr>
        <w:tc>
          <w:tcPr>
            <w:tcW w:type="dxa" w:w="2448"/>
            <w:vAlign w:val="top"/>
          </w:tcPr>
          <w:p>
            <w:pPr>
              <w:spacing w:after="20"/>
            </w:pPr>
            <w:r>
              <w:rPr>
                <w:rFonts w:ascii="Aptos" w:hAnsi="Aptos"/>
                <w:color w:val="122033"/>
                <w:sz w:val="19"/>
              </w:rPr>
              <w:t>Wide desktop</w:t>
            </w:r>
          </w:p>
        </w:tc>
        <w:tc>
          <w:tcPr>
            <w:tcW w:type="dxa" w:w="7128"/>
            <w:vAlign w:val="top"/>
          </w:tcPr>
          <w:p>
            <w:pPr>
              <w:spacing w:after="20"/>
            </w:pPr>
            <w:r>
              <w:rPr>
                <w:rFonts w:ascii="Aptos" w:hAnsi="Aptos"/>
                <w:color w:val="122033"/>
                <w:sz w:val="19"/>
              </w:rPr>
              <w:t>Full enterprise layout, complete table columns where justified, persistent workspace context and efficient keyboard operation.</w:t>
            </w:r>
          </w:p>
        </w:tc>
      </w:tr>
      <w:tr>
        <w:tc>
          <w:tcPr>
            <w:tcW w:type="dxa" w:w="2448"/>
            <w:vAlign w:val="top"/>
            <w:shd w:fill="F8FAFC"/>
          </w:tcPr>
          <w:p>
            <w:pPr>
              <w:spacing w:after="20"/>
            </w:pPr>
            <w:r>
              <w:rPr>
                <w:rFonts w:ascii="Aptos" w:hAnsi="Aptos"/>
                <w:color w:val="122033"/>
                <w:sz w:val="19"/>
              </w:rPr>
              <w:t>Tablet / constrained desktop</w:t>
            </w:r>
          </w:p>
        </w:tc>
        <w:tc>
          <w:tcPr>
            <w:tcW w:type="dxa" w:w="7128"/>
            <w:vAlign w:val="top"/>
            <w:shd w:fill="F8FAFC"/>
          </w:tcPr>
          <w:p>
            <w:pPr>
              <w:spacing w:after="20"/>
            </w:pPr>
            <w:r>
              <w:rPr>
                <w:rFonts w:ascii="Aptos" w:hAnsi="Aptos"/>
                <w:color w:val="122033"/>
                <w:sz w:val="19"/>
              </w:rPr>
              <w:t>Priority columns, collapsible navigation, bounded toolbars and touch-safe controls.</w:t>
            </w:r>
          </w:p>
        </w:tc>
      </w:tr>
      <w:tr>
        <w:tc>
          <w:tcPr>
            <w:tcW w:type="dxa" w:w="2448"/>
            <w:vAlign w:val="top"/>
          </w:tcPr>
          <w:p>
            <w:pPr>
              <w:spacing w:after="20"/>
            </w:pPr>
            <w:r>
              <w:rPr>
                <w:rFonts w:ascii="Aptos" w:hAnsi="Aptos"/>
                <w:color w:val="122033"/>
                <w:sz w:val="19"/>
              </w:rPr>
              <w:t>Mobile / narrow web</w:t>
            </w:r>
          </w:p>
        </w:tc>
        <w:tc>
          <w:tcPr>
            <w:tcW w:type="dxa" w:w="7128"/>
            <w:vAlign w:val="top"/>
          </w:tcPr>
          <w:p>
            <w:pPr>
              <w:spacing w:after="20"/>
            </w:pPr>
            <w:r>
              <w:rPr>
                <w:rFonts w:ascii="Aptos" w:hAnsi="Aptos"/>
                <w:color w:val="122033"/>
                <w:sz w:val="19"/>
              </w:rPr>
              <w:t>Summary cards or drill-down alternatives for wide data; primary actions remain discoverable; no page-wide horizontal scrolling for ordinary workflows.</w:t>
            </w:r>
          </w:p>
        </w:tc>
      </w:tr>
      <w:tr>
        <w:tc>
          <w:tcPr>
            <w:tcW w:type="dxa" w:w="2448"/>
            <w:vAlign w:val="top"/>
            <w:shd w:fill="F8FAFC"/>
          </w:tcPr>
          <w:p>
            <w:pPr>
              <w:spacing w:after="20"/>
            </w:pPr>
            <w:r>
              <w:rPr>
                <w:rFonts w:ascii="Aptos" w:hAnsi="Aptos"/>
                <w:color w:val="122033"/>
                <w:sz w:val="19"/>
              </w:rPr>
              <w:t>320 CSS-pixel reflow</w:t>
            </w:r>
          </w:p>
        </w:tc>
        <w:tc>
          <w:tcPr>
            <w:tcW w:type="dxa" w:w="7128"/>
            <w:vAlign w:val="top"/>
            <w:shd w:fill="F8FAFC"/>
          </w:tcPr>
          <w:p>
            <w:pPr>
              <w:spacing w:after="20"/>
            </w:pPr>
            <w:r>
              <w:rPr>
                <w:rFonts w:ascii="Aptos" w:hAnsi="Aptos"/>
                <w:color w:val="122033"/>
                <w:sz w:val="19"/>
              </w:rPr>
              <w:t>Critical content and actions remain usable without loss of information/functionality except for genuinely two-dimensional content with an accessible alternative.</w:t>
            </w:r>
          </w:p>
        </w:tc>
      </w:tr>
      <w:tr>
        <w:tc>
          <w:tcPr>
            <w:tcW w:type="dxa" w:w="2448"/>
            <w:vAlign w:val="top"/>
          </w:tcPr>
          <w:p>
            <w:pPr>
              <w:spacing w:after="20"/>
            </w:pPr>
            <w:r>
              <w:rPr>
                <w:rFonts w:ascii="Aptos" w:hAnsi="Aptos"/>
                <w:color w:val="122033"/>
                <w:sz w:val="19"/>
              </w:rPr>
              <w:t>Zoom / long translation / RTL</w:t>
            </w:r>
          </w:p>
        </w:tc>
        <w:tc>
          <w:tcPr>
            <w:tcW w:type="dxa" w:w="7128"/>
            <w:vAlign w:val="top"/>
          </w:tcPr>
          <w:p>
            <w:pPr>
              <w:spacing w:after="20"/>
            </w:pPr>
            <w:r>
              <w:rPr>
                <w:rFonts w:ascii="Aptos" w:hAnsi="Aptos"/>
                <w:color w:val="122033"/>
                <w:sz w:val="19"/>
              </w:rPr>
              <w:t>Layout remains usable under zoom/reflow, expanded translated text and activated RTL direction.</w:t>
            </w:r>
          </w:p>
        </w:tc>
      </w:tr>
    </w:tbl>
    <w:p>
      <w:pPr>
        <w:spacing w:after="40"/>
      </w:pPr>
    </w:p>
    <w:p>
      <w:pPr>
        <w:pStyle w:val="BodyText"/>
        <w:spacing w:before="0" w:after="80"/>
      </w:pPr>
      <w:r>
        <w:rPr>
          <w:rFonts w:ascii="Aptos" w:hAnsi="Aptos"/>
          <w:b/>
          <w:sz w:val="24"/>
        </w:rPr>
        <w:t xml:space="preserve">(i) </w:t>
      </w:r>
      <w:r>
        <w:rPr>
          <w:rFonts w:ascii="Aptos" w:hAnsi="Aptos"/>
          <w:sz w:val="24"/>
        </w:rPr>
        <w:t>Hover shall never be the only means of exposing an essential action.</w:t>
      </w:r>
    </w:p>
    <w:p>
      <w:pPr>
        <w:pStyle w:val="BodyText"/>
        <w:spacing w:before="0" w:after="80"/>
      </w:pPr>
      <w:r>
        <w:rPr>
          <w:rFonts w:ascii="Aptos" w:hAnsi="Aptos"/>
          <w:b/>
          <w:sz w:val="24"/>
        </w:rPr>
        <w:t xml:space="preserve">(ii) </w:t>
      </w:r>
      <w:r>
        <w:rPr>
          <w:rFonts w:ascii="Aptos" w:hAnsi="Aptos"/>
          <w:sz w:val="24"/>
        </w:rPr>
        <w:t>Touch targets and spacing shall remain usable on supported touch devices.</w:t>
      </w:r>
    </w:p>
    <w:p>
      <w:pPr>
        <w:pStyle w:val="BodyText"/>
        <w:spacing w:before="0" w:after="80"/>
      </w:pPr>
      <w:r>
        <w:rPr>
          <w:rFonts w:ascii="Aptos" w:hAnsi="Aptos"/>
          <w:b/>
          <w:sz w:val="24"/>
        </w:rPr>
        <w:t xml:space="preserve">(iii) </w:t>
      </w:r>
      <w:r>
        <w:rPr>
          <w:rFonts w:ascii="Aptos" w:hAnsi="Aptos"/>
          <w:sz w:val="24"/>
        </w:rPr>
        <w:t>Data-heavy patterns shall adapt through priority columns, row detail, cards or bounded inner scrolling rather than forcing the entire page to overflow horizontally.</w:t>
      </w:r>
    </w:p>
    <w:p>
      <w:pPr>
        <w:pStyle w:val="BodyText"/>
        <w:spacing w:before="0" w:after="80"/>
      </w:pPr>
      <w:r>
        <w:rPr>
          <w:rFonts w:ascii="Aptos" w:hAnsi="Aptos"/>
          <w:b/>
          <w:sz w:val="24"/>
        </w:rPr>
        <w:t xml:space="preserve">(iv) </w:t>
      </w:r>
      <w:r>
        <w:rPr>
          <w:rFonts w:ascii="Aptos" w:hAnsi="Aptos"/>
          <w:sz w:val="24"/>
        </w:rPr>
        <w:t>Navigation shall adapt between expanded sidebar, collapsed navigation and mobile drawer patterns without changing the meaning of routes or permissions.</w:t>
      </w:r>
    </w:p>
    <w:p>
      <w:pPr>
        <w:pStyle w:val="Heading2"/>
      </w:pPr>
      <w:r>
        <w:t>6.4 Initial Reusable Component Set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0E2E53"/>
            <w:vAlign w:val="center"/>
          </w:tcPr>
          <w:p>
            <w:pPr>
              <w:jc w:val="left"/>
            </w:pPr>
            <w:r>
              <w:rPr>
                <w:rFonts w:ascii="Aptos" w:hAnsi="Aptos"/>
                <w:b/>
                <w:color w:val="FFFFFF"/>
                <w:sz w:val="19"/>
              </w:rPr>
              <w:t>Family</w:t>
            </w:r>
          </w:p>
        </w:tc>
        <w:tc>
          <w:tcPr>
            <w:tcW w:type="dxa" w:w="3024"/>
            <w:shd w:fill="0E2E53"/>
            <w:vAlign w:val="center"/>
          </w:tcPr>
          <w:p>
            <w:pPr>
              <w:jc w:val="left"/>
            </w:pPr>
            <w:r>
              <w:rPr>
                <w:rFonts w:ascii="Aptos" w:hAnsi="Aptos"/>
                <w:b/>
                <w:color w:val="FFFFFF"/>
                <w:sz w:val="19"/>
              </w:rPr>
              <w:t>Initial components</w:t>
            </w:r>
          </w:p>
        </w:tc>
        <w:tc>
          <w:tcPr>
            <w:tcW w:type="dxa" w:w="5112"/>
            <w:shd w:fill="0E2E53"/>
            <w:vAlign w:val="center"/>
          </w:tcPr>
          <w:p>
            <w:pPr>
              <w:jc w:val="left"/>
            </w:pPr>
            <w:r>
              <w:rPr>
                <w:rFonts w:ascii="Aptos" w:hAnsi="Aptos"/>
                <w:b/>
                <w:color w:val="FFFFFF"/>
                <w:sz w:val="19"/>
              </w:rPr>
              <w:t>Mandatory acceptance concerns</w:t>
            </w:r>
          </w:p>
        </w:tc>
      </w:tr>
      <w:tr>
        <w:tc>
          <w:tcPr>
            <w:tcW w:type="dxa" w:w="1440"/>
            <w:vAlign w:val="top"/>
          </w:tcPr>
          <w:p>
            <w:pPr>
              <w:spacing w:after="20"/>
            </w:pPr>
            <w:r>
              <w:rPr>
                <w:rFonts w:ascii="Aptos" w:hAnsi="Aptos"/>
                <w:color w:val="122033"/>
                <w:sz w:val="19"/>
              </w:rPr>
              <w:t>Actions</w:t>
            </w:r>
          </w:p>
        </w:tc>
        <w:tc>
          <w:tcPr>
            <w:tcW w:type="dxa" w:w="3024"/>
            <w:vAlign w:val="top"/>
          </w:tcPr>
          <w:p>
            <w:pPr>
              <w:spacing w:after="20"/>
            </w:pPr>
            <w:r>
              <w:rPr>
                <w:rFonts w:ascii="Aptos" w:hAnsi="Aptos"/>
                <w:color w:val="122033"/>
                <w:sz w:val="19"/>
              </w:rPr>
              <w:t>Button, icon button, action group</w:t>
            </w:r>
          </w:p>
        </w:tc>
        <w:tc>
          <w:tcPr>
            <w:tcW w:type="dxa" w:w="5112"/>
            <w:vAlign w:val="top"/>
          </w:tcPr>
          <w:p>
            <w:pPr>
              <w:spacing w:after="20"/>
            </w:pPr>
            <w:r>
              <w:rPr>
                <w:rFonts w:ascii="Aptos" w:hAnsi="Aptos"/>
                <w:color w:val="122033"/>
                <w:sz w:val="19"/>
              </w:rPr>
              <w:t>Loading/disabled/destructive states, labels, keyboard operation and focus.</w:t>
            </w:r>
          </w:p>
        </w:tc>
      </w:tr>
      <w:tr>
        <w:tc>
          <w:tcPr>
            <w:tcW w:type="dxa" w:w="1440"/>
            <w:vAlign w:val="top"/>
            <w:shd w:fill="F8FAFC"/>
          </w:tcPr>
          <w:p>
            <w:pPr>
              <w:spacing w:after="20"/>
            </w:pPr>
            <w:r>
              <w:rPr>
                <w:rFonts w:ascii="Aptos" w:hAnsi="Aptos"/>
                <w:color w:val="122033"/>
                <w:sz w:val="19"/>
              </w:rPr>
              <w:t>Forms</w:t>
            </w:r>
          </w:p>
        </w:tc>
        <w:tc>
          <w:tcPr>
            <w:tcW w:type="dxa" w:w="3024"/>
            <w:vAlign w:val="top"/>
            <w:shd w:fill="F8FAFC"/>
          </w:tcPr>
          <w:p>
            <w:pPr>
              <w:spacing w:after="20"/>
            </w:pPr>
            <w:r>
              <w:rPr>
                <w:rFonts w:ascii="Aptos" w:hAnsi="Aptos"/>
                <w:color w:val="122033"/>
                <w:sz w:val="19"/>
              </w:rPr>
              <w:t>Field wrapper, input, select, textarea, checkbox, radio</w:t>
            </w:r>
          </w:p>
        </w:tc>
        <w:tc>
          <w:tcPr>
            <w:tcW w:type="dxa" w:w="5112"/>
            <w:vAlign w:val="top"/>
            <w:shd w:fill="F8FAFC"/>
          </w:tcPr>
          <w:p>
            <w:pPr>
              <w:spacing w:after="20"/>
            </w:pPr>
            <w:r>
              <w:rPr>
                <w:rFonts w:ascii="Aptos" w:hAnsi="Aptos"/>
                <w:color w:val="122033"/>
                <w:sz w:val="19"/>
              </w:rPr>
              <w:t>Labels/help, validation association, read-only/disabled/dirty states and locale-ready input.</w:t>
            </w:r>
          </w:p>
        </w:tc>
      </w:tr>
      <w:tr>
        <w:tc>
          <w:tcPr>
            <w:tcW w:type="dxa" w:w="1440"/>
            <w:vAlign w:val="top"/>
          </w:tcPr>
          <w:p>
            <w:pPr>
              <w:spacing w:after="20"/>
            </w:pPr>
            <w:r>
              <w:rPr>
                <w:rFonts w:ascii="Aptos" w:hAnsi="Aptos"/>
                <w:color w:val="122033"/>
                <w:sz w:val="19"/>
              </w:rPr>
              <w:t>Data</w:t>
            </w:r>
          </w:p>
        </w:tc>
        <w:tc>
          <w:tcPr>
            <w:tcW w:type="dxa" w:w="3024"/>
            <w:vAlign w:val="top"/>
          </w:tcPr>
          <w:p>
            <w:pPr>
              <w:spacing w:after="20"/>
            </w:pPr>
            <w:r>
              <w:rPr>
                <w:rFonts w:ascii="Aptos" w:hAnsi="Aptos"/>
                <w:color w:val="122033"/>
                <w:sz w:val="19"/>
              </w:rPr>
              <w:t>Table shell, list, pagination, empty state</w:t>
            </w:r>
          </w:p>
        </w:tc>
        <w:tc>
          <w:tcPr>
            <w:tcW w:type="dxa" w:w="5112"/>
            <w:vAlign w:val="top"/>
          </w:tcPr>
          <w:p>
            <w:pPr>
              <w:spacing w:after="20"/>
            </w:pPr>
            <w:r>
              <w:rPr>
                <w:rFonts w:ascii="Aptos" w:hAnsi="Aptos"/>
                <w:color w:val="122033"/>
                <w:sz w:val="19"/>
              </w:rPr>
              <w:t>Loading, empty, populated, filtered-no-results, error, adaptive behaviour and bounded data volume.</w:t>
            </w:r>
          </w:p>
        </w:tc>
      </w:tr>
      <w:tr>
        <w:tc>
          <w:tcPr>
            <w:tcW w:type="dxa" w:w="1440"/>
            <w:vAlign w:val="top"/>
            <w:shd w:fill="F8FAFC"/>
          </w:tcPr>
          <w:p>
            <w:pPr>
              <w:spacing w:after="20"/>
            </w:pPr>
            <w:r>
              <w:rPr>
                <w:rFonts w:ascii="Aptos" w:hAnsi="Aptos"/>
                <w:color w:val="122033"/>
                <w:sz w:val="19"/>
              </w:rPr>
              <w:t>Feedback</w:t>
            </w:r>
          </w:p>
        </w:tc>
        <w:tc>
          <w:tcPr>
            <w:tcW w:type="dxa" w:w="3024"/>
            <w:vAlign w:val="top"/>
            <w:shd w:fill="F8FAFC"/>
          </w:tcPr>
          <w:p>
            <w:pPr>
              <w:spacing w:after="20"/>
            </w:pPr>
            <w:r>
              <w:rPr>
                <w:rFonts w:ascii="Aptos" w:hAnsi="Aptos"/>
                <w:color w:val="122033"/>
                <w:sz w:val="19"/>
              </w:rPr>
              <w:t>Alert, status badge, progress, skeleton</w:t>
            </w:r>
          </w:p>
        </w:tc>
        <w:tc>
          <w:tcPr>
            <w:tcW w:type="dxa" w:w="5112"/>
            <w:vAlign w:val="top"/>
            <w:shd w:fill="F8FAFC"/>
          </w:tcPr>
          <w:p>
            <w:pPr>
              <w:spacing w:after="20"/>
            </w:pPr>
            <w:r>
              <w:rPr>
                <w:rFonts w:ascii="Aptos" w:hAnsi="Aptos"/>
                <w:color w:val="122033"/>
                <w:sz w:val="19"/>
              </w:rPr>
              <w:t>Non-colour cues, persistent vs transient semantics and screen-reader announcements.</w:t>
            </w:r>
          </w:p>
        </w:tc>
      </w:tr>
      <w:tr>
        <w:tc>
          <w:tcPr>
            <w:tcW w:type="dxa" w:w="1440"/>
            <w:vAlign w:val="top"/>
          </w:tcPr>
          <w:p>
            <w:pPr>
              <w:spacing w:after="20"/>
            </w:pPr>
            <w:r>
              <w:rPr>
                <w:rFonts w:ascii="Aptos" w:hAnsi="Aptos"/>
                <w:color w:val="122033"/>
                <w:sz w:val="19"/>
              </w:rPr>
              <w:t>Overlay</w:t>
            </w:r>
          </w:p>
        </w:tc>
        <w:tc>
          <w:tcPr>
            <w:tcW w:type="dxa" w:w="3024"/>
            <w:vAlign w:val="top"/>
          </w:tcPr>
          <w:p>
            <w:pPr>
              <w:spacing w:after="20"/>
            </w:pPr>
            <w:r>
              <w:rPr>
                <w:rFonts w:ascii="Aptos" w:hAnsi="Aptos"/>
                <w:color w:val="122033"/>
                <w:sz w:val="19"/>
              </w:rPr>
              <w:t>Dialog, drawer, popover</w:t>
            </w:r>
          </w:p>
        </w:tc>
        <w:tc>
          <w:tcPr>
            <w:tcW w:type="dxa" w:w="5112"/>
            <w:vAlign w:val="top"/>
          </w:tcPr>
          <w:p>
            <w:pPr>
              <w:spacing w:after="20"/>
            </w:pPr>
            <w:r>
              <w:rPr>
                <w:rFonts w:ascii="Aptos" w:hAnsi="Aptos"/>
                <w:color w:val="122033"/>
                <w:sz w:val="19"/>
              </w:rPr>
              <w:t>Accessible name, focus entry/trap/restore, escape behaviour and mobile sizing.</w:t>
            </w:r>
          </w:p>
        </w:tc>
      </w:tr>
      <w:tr>
        <w:tc>
          <w:tcPr>
            <w:tcW w:type="dxa" w:w="1440"/>
            <w:vAlign w:val="top"/>
            <w:shd w:fill="F8FAFC"/>
          </w:tcPr>
          <w:p>
            <w:pPr>
              <w:spacing w:after="20"/>
            </w:pPr>
            <w:r>
              <w:rPr>
                <w:rFonts w:ascii="Aptos" w:hAnsi="Aptos"/>
                <w:color w:val="122033"/>
                <w:sz w:val="19"/>
              </w:rPr>
              <w:t>Navigation</w:t>
            </w:r>
          </w:p>
        </w:tc>
        <w:tc>
          <w:tcPr>
            <w:tcW w:type="dxa" w:w="3024"/>
            <w:vAlign w:val="top"/>
            <w:shd w:fill="F8FAFC"/>
          </w:tcPr>
          <w:p>
            <w:pPr>
              <w:spacing w:after="20"/>
            </w:pPr>
            <w:r>
              <w:rPr>
                <w:rFonts w:ascii="Aptos" w:hAnsi="Aptos"/>
                <w:color w:val="122033"/>
                <w:sz w:val="19"/>
              </w:rPr>
              <w:t>Tabs, breadcrumb, pagination controls</w:t>
            </w:r>
          </w:p>
        </w:tc>
        <w:tc>
          <w:tcPr>
            <w:tcW w:type="dxa" w:w="5112"/>
            <w:vAlign w:val="top"/>
            <w:shd w:fill="F8FAFC"/>
          </w:tcPr>
          <w:p>
            <w:pPr>
              <w:spacing w:after="20"/>
            </w:pPr>
            <w:r>
              <w:rPr>
                <w:rFonts w:ascii="Aptos" w:hAnsi="Aptos"/>
                <w:color w:val="122033"/>
                <w:sz w:val="19"/>
              </w:rPr>
              <w:t>Current/selected semantics, keyboard order, overflow and narrow-screen behaviour.</w:t>
            </w:r>
          </w:p>
        </w:tc>
      </w:tr>
      <w:tr>
        <w:tc>
          <w:tcPr>
            <w:tcW w:type="dxa" w:w="1440"/>
            <w:vAlign w:val="top"/>
          </w:tcPr>
          <w:p>
            <w:pPr>
              <w:spacing w:after="20"/>
            </w:pPr>
            <w:r>
              <w:rPr>
                <w:rFonts w:ascii="Aptos" w:hAnsi="Aptos"/>
                <w:color w:val="122033"/>
                <w:sz w:val="19"/>
              </w:rPr>
              <w:t>Structure</w:t>
            </w:r>
          </w:p>
        </w:tc>
        <w:tc>
          <w:tcPr>
            <w:tcW w:type="dxa" w:w="3024"/>
            <w:vAlign w:val="top"/>
          </w:tcPr>
          <w:p>
            <w:pPr>
              <w:spacing w:after="20"/>
            </w:pPr>
            <w:r>
              <w:rPr>
                <w:rFonts w:ascii="Aptos" w:hAnsi="Aptos"/>
                <w:color w:val="122033"/>
                <w:sz w:val="19"/>
              </w:rPr>
              <w:t>Card, panel, divider</w:t>
            </w:r>
          </w:p>
        </w:tc>
        <w:tc>
          <w:tcPr>
            <w:tcW w:type="dxa" w:w="5112"/>
            <w:vAlign w:val="top"/>
          </w:tcPr>
          <w:p>
            <w:pPr>
              <w:spacing w:after="20"/>
            </w:pPr>
            <w:r>
              <w:rPr>
                <w:rFonts w:ascii="Aptos" w:hAnsi="Aptos"/>
                <w:color w:val="122033"/>
                <w:sz w:val="19"/>
              </w:rPr>
              <w:t>Token-only styling, responsive composition and consistent spacing.</w:t>
            </w:r>
          </w:p>
        </w:tc>
      </w:tr>
    </w:tbl>
    <w:p>
      <w:pPr>
        <w:spacing w:after="40"/>
      </w:pPr>
    </w:p>
    <w:p>
      <w:pPr>
        <w:pStyle w:val="Heading2"/>
      </w:pPr>
      <w:r>
        <w:t>6.5 State Completeness Rule</w:t>
      </w:r>
    </w:p>
    <w:p>
      <w:pPr>
        <w:pStyle w:val="BodyText"/>
        <w:spacing w:before="0" w:after="80"/>
      </w:pPr>
      <w:r>
        <w:rPr>
          <w:rFonts w:ascii="Aptos" w:hAnsi="Aptos"/>
          <w:b/>
          <w:sz w:val="24"/>
        </w:rPr>
        <w:t xml:space="preserve">(i) </w:t>
      </w:r>
      <w:r>
        <w:rPr>
          <w:rFonts w:ascii="Aptos" w:hAnsi="Aptos"/>
          <w:sz w:val="24"/>
        </w:rPr>
        <w:t>Every reusable screen-level pattern shall define loading, empty, populated and unexpected-error states.</w:t>
      </w:r>
    </w:p>
    <w:p>
      <w:pPr>
        <w:pStyle w:val="BodyText"/>
        <w:spacing w:before="0" w:after="80"/>
      </w:pPr>
      <w:r>
        <w:rPr>
          <w:rFonts w:ascii="Aptos" w:hAnsi="Aptos"/>
          <w:b/>
          <w:sz w:val="24"/>
        </w:rPr>
        <w:t xml:space="preserve">(ii) </w:t>
      </w:r>
      <w:r>
        <w:rPr>
          <w:rFonts w:ascii="Aptos" w:hAnsi="Aptos"/>
          <w:sz w:val="24"/>
        </w:rPr>
        <w:t>Where filtering exists, the filtered/no-results state shall be distinguishable from a genuinely empty dataset.</w:t>
      </w:r>
    </w:p>
    <w:p>
      <w:pPr>
        <w:pStyle w:val="BodyText"/>
        <w:spacing w:before="0" w:after="80"/>
      </w:pPr>
      <w:r>
        <w:rPr>
          <w:rFonts w:ascii="Aptos" w:hAnsi="Aptos"/>
          <w:b/>
          <w:sz w:val="24"/>
        </w:rPr>
        <w:t xml:space="preserve">(iii) </w:t>
      </w:r>
      <w:r>
        <w:rPr>
          <w:rFonts w:ascii="Aptos" w:hAnsi="Aptos"/>
          <w:sz w:val="24"/>
        </w:rPr>
        <w:t>Form-capable components shall define validation, disabled, read-only and dirty-state behaviour.</w:t>
      </w:r>
    </w:p>
    <w:p>
      <w:pPr>
        <w:pStyle w:val="BodyText"/>
        <w:spacing w:before="0" w:after="80"/>
      </w:pPr>
      <w:r>
        <w:rPr>
          <w:rFonts w:ascii="Aptos" w:hAnsi="Aptos"/>
          <w:b/>
          <w:sz w:val="24"/>
        </w:rPr>
        <w:t xml:space="preserve">(iv) </w:t>
      </w:r>
      <w:r>
        <w:rPr>
          <w:rFonts w:ascii="Aptos" w:hAnsi="Aptos"/>
          <w:sz w:val="24"/>
        </w:rPr>
        <w:t>Permission, edition, offline/queued and conflict states shall be supported where the component participates in those flows.</w:t>
      </w:r>
    </w:p>
    <w:p>
      <w:pPr>
        <w:pStyle w:val="BodyText"/>
        <w:spacing w:before="0" w:after="80"/>
      </w:pPr>
      <w:r>
        <w:rPr>
          <w:rFonts w:ascii="Aptos" w:hAnsi="Aptos"/>
          <w:b/>
          <w:sz w:val="24"/>
        </w:rPr>
        <w:t xml:space="preserve">(v) </w:t>
      </w:r>
      <w:r>
        <w:rPr>
          <w:rFonts w:ascii="Aptos" w:hAnsi="Aptos"/>
          <w:sz w:val="24"/>
        </w:rPr>
        <w:t>Retry and recovery affordances shall be explicit when an operation can safely be repeated.</w:t>
      </w:r>
    </w:p>
    <w:p>
      <w:pPr>
        <w:spacing w:before="160" w:after="60"/>
        <w:jc w:val="center"/>
      </w:pPr>
      <w:r>
        <w:rPr>
          <w:rFonts w:ascii="Aptos" w:hAnsi="Aptos"/>
          <w:sz w:val="24"/>
        </w:rPr>
        <w:drawing>
          <wp:inline xmlns:a="http://schemas.openxmlformats.org/drawingml/2006/main" xmlns:pic="http://schemas.openxmlformats.org/drawingml/2006/picture">
            <wp:extent cx="5852160" cy="2946181"/>
            <wp:docPr id="5" name="Picture 5"/>
            <wp:cNvGraphicFramePr>
              <a:graphicFrameLocks noChangeAspect="1"/>
            </wp:cNvGraphicFramePr>
            <a:graphic>
              <a:graphicData uri="http://schemas.openxmlformats.org/drawingml/2006/picture">
                <pic:pic>
                  <pic:nvPicPr>
                    <pic:cNvPr id="0" name="fig4_component_cycle.png"/>
                    <pic:cNvPicPr/>
                  </pic:nvPicPr>
                  <pic:blipFill>
                    <a:blip r:embed="rId15"/>
                    <a:stretch>
                      <a:fillRect/>
                    </a:stretch>
                  </pic:blipFill>
                  <pic:spPr>
                    <a:xfrm>
                      <a:off x="0" y="0"/>
                      <a:ext cx="5852160" cy="2946181"/>
                    </a:xfrm>
                    <a:prstGeom prst="rect"/>
                  </pic:spPr>
                </pic:pic>
              </a:graphicData>
            </a:graphic>
          </wp:inline>
        </w:drawing>
      </w:r>
    </w:p>
    <w:p>
      <w:pPr>
        <w:spacing w:after="160"/>
        <w:jc w:val="center"/>
      </w:pPr>
      <w:r>
        <w:rPr>
          <w:rFonts w:ascii="Aptos" w:hAnsi="Aptos"/>
          <w:i/>
          <w:color w:val="667085"/>
          <w:sz w:val="19"/>
        </w:rPr>
        <w:t>Figure 4. IB2 component delivery cycle: implementation is accepted only with documentation and retained quality evidence.</w:t>
      </w:r>
    </w:p>
    <w:p>
      <w:pPr>
        <w:pStyle w:val="Heading2"/>
      </w:pPr>
      <w:r>
        <w:t>6.6 PAEP UI Laboratory</w:t>
      </w:r>
    </w:p>
    <w:p>
      <w:r>
        <w:rPr>
          <w:rFonts w:ascii="Aptos" w:hAnsi="Aptos"/>
          <w:sz w:val="24"/>
        </w:rPr>
        <w:t>The UI laboratory is a permanent platform application, not a disposable demonstration. Each reusable component shall appear with purpose, variants, states, accessibility notes, responsive behaviour, localisation/RTL considerations and links to retained test evidence. It also serves as clean-room evidence that the design system exists independently of any single product screen.</w:t>
      </w:r>
    </w:p>
    <w:p>
      <w:pPr>
        <w:spacing w:before="120" w:after="60"/>
      </w:pPr>
      <w:r>
        <w:rPr>
          <w:rFonts w:ascii="Aptos" w:hAnsi="Aptos"/>
          <w:b/>
          <w:color w:val="0E2E53"/>
          <w:sz w:val="20"/>
        </w:rPr>
        <w:t>Code Block 8. Example UI laboratory component specimen structure.</w:t>
      </w:r>
    </w:p>
    <w:tbl>
      <w:tblPr>
        <w:tblW w:type="auto" w:w="0"/>
        <w:jc w:val="center"/>
        <w:tblLayout w:type="fixed"/>
        <w:tblLook w:firstColumn="1" w:firstRow="1" w:lastColumn="0" w:lastRow="0" w:noHBand="0" w:noVBand="1" w:val="04A0"/>
      </w:tblPr>
      <w:tblGrid>
        <w:gridCol w:w="9576"/>
      </w:tblGrid>
      <w:tr>
        <w:tc>
          <w:tcPr>
            <w:tcW w:type="dxa" w:w="10166"/>
            <w:shd w:fill="F5F7FA"/>
            <w:tcBorders>
              <w:top w:val="single" w:sz="8" w:color="CBD5E1"/>
              <w:left w:val="single" w:sz="8" w:color="CBD5E1"/>
              <w:bottom w:val="single" w:sz="8" w:color="CBD5E1"/>
              <w:right w:val="single" w:sz="8" w:color="CBD5E1"/>
            </w:tcBorders>
            <w:vAlign w:val="center"/>
          </w:tcPr>
          <w:p>
            <w:pPr>
              <w:spacing w:before="100" w:after="100"/>
            </w:pPr>
            <w:r>
              <w:rPr>
                <w:rFonts w:ascii="Consolas" w:hAnsi="Consolas"/>
                <w:color w:val="263238"/>
                <w:sz w:val="18"/>
              </w:rPr>
              <w:t>BUTTON</w:t>
            </w:r>
            <w:r>
              <w:br/>
            </w:r>
            <w:r>
              <w:rPr>
                <w:rFonts w:ascii="Consolas" w:hAnsi="Consolas"/>
                <w:color w:val="263238"/>
                <w:sz w:val="18"/>
              </w:rPr>
              <w:t>────────────────────────────────</w:t>
            </w:r>
            <w:r>
              <w:br/>
            </w:r>
            <w:r>
              <w:rPr>
                <w:rFonts w:ascii="Consolas" w:hAnsi="Consolas"/>
                <w:color w:val="263238"/>
                <w:sz w:val="18"/>
              </w:rPr>
              <w:t>Purpose</w:t>
            </w:r>
            <w:r>
              <w:br/>
            </w:r>
            <w:r>
              <w:rPr>
                <w:rFonts w:ascii="Consolas" w:hAnsi="Consolas"/>
                <w:color w:val="263238"/>
                <w:sz w:val="18"/>
              </w:rPr>
              <w:t>Primary and secondary task actions</w:t>
            </w:r>
            <w:r>
              <w:br/>
            </w:r>
            <w:r>
              <w:rPr>
                <w:rFonts w:ascii="Consolas" w:hAnsi="Consolas"/>
                <w:color w:val="263238"/>
                <w:sz w:val="18"/>
              </w:rPr>
            </w:r>
            <w:r>
              <w:br/>
            </w:r>
            <w:r>
              <w:rPr>
                <w:rFonts w:ascii="Consolas" w:hAnsi="Consolas"/>
                <w:color w:val="263238"/>
                <w:sz w:val="18"/>
              </w:rPr>
              <w:t>Variants</w:t>
            </w:r>
            <w:r>
              <w:br/>
            </w:r>
            <w:r>
              <w:rPr>
                <w:rFonts w:ascii="Consolas" w:hAnsi="Consolas"/>
                <w:color w:val="263238"/>
                <w:sz w:val="18"/>
              </w:rPr>
              <w:t>[ Primary ] [ Secondary ] [ Destructive ]</w:t>
            </w:r>
            <w:r>
              <w:br/>
            </w:r>
            <w:r>
              <w:rPr>
                <w:rFonts w:ascii="Consolas" w:hAnsi="Consolas"/>
                <w:color w:val="263238"/>
                <w:sz w:val="18"/>
              </w:rPr>
            </w:r>
            <w:r>
              <w:br/>
            </w:r>
            <w:r>
              <w:rPr>
                <w:rFonts w:ascii="Consolas" w:hAnsi="Consolas"/>
                <w:color w:val="263238"/>
                <w:sz w:val="18"/>
              </w:rPr>
              <w:t>States</w:t>
            </w:r>
            <w:r>
              <w:br/>
            </w:r>
            <w:r>
              <w:rPr>
                <w:rFonts w:ascii="Consolas" w:hAnsi="Consolas"/>
                <w:color w:val="263238"/>
                <w:sz w:val="18"/>
              </w:rPr>
              <w:t>Normal | Disabled | Loading | Focus</w:t>
            </w:r>
            <w:r>
              <w:br/>
            </w:r>
            <w:r>
              <w:rPr>
                <w:rFonts w:ascii="Consolas" w:hAnsi="Consolas"/>
                <w:color w:val="263238"/>
                <w:sz w:val="18"/>
              </w:rPr>
            </w:r>
            <w:r>
              <w:br/>
            </w:r>
            <w:r>
              <w:rPr>
                <w:rFonts w:ascii="Consolas" w:hAnsi="Consolas"/>
                <w:color w:val="263238"/>
                <w:sz w:val="18"/>
              </w:rPr>
              <w:t>Accessibility</w:t>
            </w:r>
            <w:r>
              <w:br/>
            </w:r>
            <w:r>
              <w:rPr>
                <w:rFonts w:ascii="Consolas" w:hAnsi="Consolas"/>
                <w:color w:val="263238"/>
                <w:sz w:val="18"/>
              </w:rPr>
              <w:t>Keyboard: Enter / Space</w:t>
            </w:r>
            <w:r>
              <w:br/>
            </w:r>
            <w:r>
              <w:rPr>
                <w:rFonts w:ascii="Consolas" w:hAnsi="Consolas"/>
                <w:color w:val="263238"/>
                <w:sz w:val="18"/>
              </w:rPr>
              <w:t>Focus: visible</w:t>
            </w:r>
            <w:r>
              <w:br/>
            </w:r>
            <w:r>
              <w:rPr>
                <w:rFonts w:ascii="Consolas" w:hAnsi="Consolas"/>
                <w:color w:val="263238"/>
                <w:sz w:val="18"/>
              </w:rPr>
              <w:t>Name: required</w:t>
            </w:r>
            <w:r>
              <w:br/>
            </w:r>
            <w:r>
              <w:rPr>
                <w:rFonts w:ascii="Consolas" w:hAnsi="Consolas"/>
                <w:color w:val="263238"/>
                <w:sz w:val="18"/>
              </w:rPr>
              <w:t>Icon-only: aria-label required</w:t>
            </w:r>
            <w:r>
              <w:br/>
            </w:r>
            <w:r>
              <w:rPr>
                <w:rFonts w:ascii="Consolas" w:hAnsi="Consolas"/>
                <w:color w:val="263238"/>
                <w:sz w:val="18"/>
              </w:rPr>
            </w:r>
            <w:r>
              <w:br/>
            </w:r>
            <w:r>
              <w:rPr>
                <w:rFonts w:ascii="Consolas" w:hAnsi="Consolas"/>
                <w:color w:val="263238"/>
                <w:sz w:val="18"/>
              </w:rPr>
              <w:t>Responsive</w:t>
            </w:r>
            <w:r>
              <w:br/>
            </w:r>
            <w:r>
              <w:rPr>
                <w:rFonts w:ascii="Consolas" w:hAnsi="Consolas"/>
                <w:color w:val="263238"/>
                <w:sz w:val="18"/>
              </w:rPr>
              <w:t>Desktop ✓   Tablet ✓   320px ✓</w:t>
            </w:r>
            <w:r>
              <w:br/>
            </w:r>
            <w:r>
              <w:rPr>
                <w:rFonts w:ascii="Consolas" w:hAnsi="Consolas"/>
                <w:color w:val="263238"/>
                <w:sz w:val="18"/>
              </w:rPr>
            </w:r>
            <w:r>
              <w:br/>
            </w:r>
            <w:r>
              <w:rPr>
                <w:rFonts w:ascii="Consolas" w:hAnsi="Consolas"/>
                <w:color w:val="263238"/>
                <w:sz w:val="18"/>
              </w:rPr>
              <w:t>RTL</w:t>
            </w:r>
            <w:r>
              <w:br/>
            </w:r>
            <w:r>
              <w:rPr>
                <w:rFonts w:ascii="Consolas" w:hAnsi="Consolas"/>
                <w:color w:val="263238"/>
                <w:sz w:val="18"/>
              </w:rPr>
              <w:t>✓</w:t>
            </w:r>
            <w:r>
              <w:br/>
            </w:r>
            <w:r>
              <w:rPr>
                <w:rFonts w:ascii="Consolas" w:hAnsi="Consolas"/>
                <w:color w:val="263238"/>
                <w:sz w:val="18"/>
              </w:rPr>
            </w:r>
            <w:r>
              <w:br/>
            </w:r>
            <w:r>
              <w:rPr>
                <w:rFonts w:ascii="Consolas" w:hAnsi="Consolas"/>
                <w:color w:val="263238"/>
                <w:sz w:val="18"/>
              </w:rPr>
              <w:t>Evidence</w:t>
            </w:r>
            <w:r>
              <w:br/>
            </w:r>
            <w:r>
              <w:rPr>
                <w:rFonts w:ascii="Consolas" w:hAnsi="Consolas"/>
                <w:color w:val="263238"/>
                <w:sz w:val="18"/>
              </w:rPr>
              <w:t>Unit ✓   Accessibility ✓   Visual regression ✓</w:t>
            </w:r>
          </w:p>
        </w:tc>
      </w:tr>
    </w:tbl>
    <w:p>
      <w:pPr>
        <w:spacing w:after="0"/>
      </w:pPr>
    </w:p>
    <w:p>
      <w:pPr>
        <w:pStyle w:val="Heading2"/>
      </w:pPr>
      <w:r>
        <w:t>6.7 IB2 Work Packages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0E2E53"/>
            <w:vAlign w:val="center"/>
          </w:tcPr>
          <w:p>
            <w:pPr>
              <w:jc w:val="left"/>
            </w:pPr>
            <w:r>
              <w:rPr>
                <w:rFonts w:ascii="Aptos" w:hAnsi="Aptos"/>
                <w:b/>
                <w:color w:val="FFFFFF"/>
                <w:sz w:val="19"/>
              </w:rPr>
              <w:t>Work package</w:t>
            </w:r>
          </w:p>
        </w:tc>
        <w:tc>
          <w:tcPr>
            <w:tcW w:type="dxa" w:w="5328"/>
            <w:shd w:fill="0E2E53"/>
            <w:vAlign w:val="center"/>
          </w:tcPr>
          <w:p>
            <w:pPr>
              <w:jc w:val="left"/>
            </w:pPr>
            <w:r>
              <w:rPr>
                <w:rFonts w:ascii="Aptos" w:hAnsi="Aptos"/>
                <w:b/>
                <w:color w:val="FFFFFF"/>
                <w:sz w:val="19"/>
              </w:rPr>
              <w:t>Implementation activity</w:t>
            </w:r>
          </w:p>
        </w:tc>
        <w:tc>
          <w:tcPr>
            <w:tcW w:type="dxa" w:w="2736"/>
            <w:shd w:fill="0E2E53"/>
            <w:vAlign w:val="center"/>
          </w:tcPr>
          <w:p>
            <w:pPr>
              <w:jc w:val="left"/>
            </w:pPr>
            <w:r>
              <w:rPr>
                <w:rFonts w:ascii="Aptos" w:hAnsi="Aptos"/>
                <w:b/>
                <w:color w:val="FFFFFF"/>
                <w:sz w:val="19"/>
              </w:rPr>
              <w:t>Required evidence</w:t>
            </w:r>
          </w:p>
        </w:tc>
      </w:tr>
      <w:tr>
        <w:tc>
          <w:tcPr>
            <w:tcW w:type="dxa" w:w="1440"/>
            <w:vAlign w:val="top"/>
          </w:tcPr>
          <w:p>
            <w:pPr>
              <w:spacing w:after="20"/>
            </w:pPr>
            <w:r>
              <w:rPr>
                <w:rFonts w:ascii="Aptos" w:hAnsi="Aptos"/>
                <w:color w:val="122033"/>
                <w:sz w:val="19"/>
              </w:rPr>
              <w:t>IB2-WP1</w:t>
            </w:r>
          </w:p>
        </w:tc>
        <w:tc>
          <w:tcPr>
            <w:tcW w:type="dxa" w:w="5328"/>
            <w:vAlign w:val="top"/>
          </w:tcPr>
          <w:p>
            <w:pPr>
              <w:spacing w:after="20"/>
            </w:pPr>
            <w:r>
              <w:rPr>
                <w:rFonts w:ascii="Aptos" w:hAnsi="Aptos"/>
                <w:color w:val="122033"/>
                <w:sz w:val="19"/>
              </w:rPr>
              <w:t>Implement foundation tokens and approved brand/theme override model.</w:t>
            </w:r>
          </w:p>
        </w:tc>
        <w:tc>
          <w:tcPr>
            <w:tcW w:type="dxa" w:w="2736"/>
            <w:vAlign w:val="top"/>
          </w:tcPr>
          <w:p>
            <w:pPr>
              <w:spacing w:after="20"/>
            </w:pPr>
            <w:r>
              <w:rPr>
                <w:rFonts w:ascii="Aptos" w:hAnsi="Aptos"/>
                <w:color w:val="122033"/>
                <w:sz w:val="19"/>
              </w:rPr>
              <w:t>Token catalogue; unit tests; theme regression evidence.</w:t>
            </w:r>
          </w:p>
        </w:tc>
      </w:tr>
      <w:tr>
        <w:tc>
          <w:tcPr>
            <w:tcW w:type="dxa" w:w="1440"/>
            <w:vAlign w:val="top"/>
            <w:shd w:fill="F8FAFC"/>
          </w:tcPr>
          <w:p>
            <w:pPr>
              <w:spacing w:after="20"/>
            </w:pPr>
            <w:r>
              <w:rPr>
                <w:rFonts w:ascii="Aptos" w:hAnsi="Aptos"/>
                <w:color w:val="122033"/>
                <w:sz w:val="19"/>
              </w:rPr>
              <w:t>IB2-WP2</w:t>
            </w:r>
          </w:p>
        </w:tc>
        <w:tc>
          <w:tcPr>
            <w:tcW w:type="dxa" w:w="5328"/>
            <w:vAlign w:val="top"/>
            <w:shd w:fill="F8FAFC"/>
          </w:tcPr>
          <w:p>
            <w:pPr>
              <w:spacing w:after="20"/>
            </w:pPr>
            <w:r>
              <w:rPr>
                <w:rFonts w:ascii="Aptos" w:hAnsi="Aptos"/>
                <w:color w:val="122033"/>
                <w:sz w:val="19"/>
              </w:rPr>
              <w:t>Implement responsive layout primitives and 320px/zoom/RTL validation harnesses.</w:t>
            </w:r>
          </w:p>
        </w:tc>
        <w:tc>
          <w:tcPr>
            <w:tcW w:type="dxa" w:w="2736"/>
            <w:vAlign w:val="top"/>
            <w:shd w:fill="F8FAFC"/>
          </w:tcPr>
          <w:p>
            <w:pPr>
              <w:spacing w:after="20"/>
            </w:pPr>
            <w:r>
              <w:rPr>
                <w:rFonts w:ascii="Aptos" w:hAnsi="Aptos"/>
                <w:color w:val="122033"/>
                <w:sz w:val="19"/>
              </w:rPr>
              <w:t>Responsive and localisation evidence.</w:t>
            </w:r>
          </w:p>
        </w:tc>
      </w:tr>
      <w:tr>
        <w:tc>
          <w:tcPr>
            <w:tcW w:type="dxa" w:w="1440"/>
            <w:vAlign w:val="top"/>
          </w:tcPr>
          <w:p>
            <w:pPr>
              <w:spacing w:after="20"/>
            </w:pPr>
            <w:r>
              <w:rPr>
                <w:rFonts w:ascii="Aptos" w:hAnsi="Aptos"/>
                <w:color w:val="122033"/>
                <w:sz w:val="19"/>
              </w:rPr>
              <w:t>IB2-WP3</w:t>
            </w:r>
          </w:p>
        </w:tc>
        <w:tc>
          <w:tcPr>
            <w:tcW w:type="dxa" w:w="5328"/>
            <w:vAlign w:val="top"/>
          </w:tcPr>
          <w:p>
            <w:pPr>
              <w:spacing w:after="20"/>
            </w:pPr>
            <w:r>
              <w:rPr>
                <w:rFonts w:ascii="Aptos" w:hAnsi="Aptos"/>
                <w:color w:val="122033"/>
                <w:sz w:val="19"/>
              </w:rPr>
              <w:t>Implement the initial reusable component set using public contracts and semantic tokens only.</w:t>
            </w:r>
          </w:p>
        </w:tc>
        <w:tc>
          <w:tcPr>
            <w:tcW w:type="dxa" w:w="2736"/>
            <w:vAlign w:val="top"/>
          </w:tcPr>
          <w:p>
            <w:pPr>
              <w:spacing w:after="20"/>
            </w:pPr>
            <w:r>
              <w:rPr>
                <w:rFonts w:ascii="Aptos" w:hAnsi="Aptos"/>
                <w:color w:val="122033"/>
                <w:sz w:val="19"/>
              </w:rPr>
              <w:t>Component tests and API review.</w:t>
            </w:r>
          </w:p>
        </w:tc>
      </w:tr>
      <w:tr>
        <w:tc>
          <w:tcPr>
            <w:tcW w:type="dxa" w:w="1440"/>
            <w:vAlign w:val="top"/>
            <w:shd w:fill="F8FAFC"/>
          </w:tcPr>
          <w:p>
            <w:pPr>
              <w:spacing w:after="20"/>
            </w:pPr>
            <w:r>
              <w:rPr>
                <w:rFonts w:ascii="Aptos" w:hAnsi="Aptos"/>
                <w:color w:val="122033"/>
                <w:sz w:val="19"/>
              </w:rPr>
              <w:t>IB2-WP4</w:t>
            </w:r>
          </w:p>
        </w:tc>
        <w:tc>
          <w:tcPr>
            <w:tcW w:type="dxa" w:w="5328"/>
            <w:vAlign w:val="top"/>
            <w:shd w:fill="F8FAFC"/>
          </w:tcPr>
          <w:p>
            <w:pPr>
              <w:spacing w:after="20"/>
            </w:pPr>
            <w:r>
              <w:rPr>
                <w:rFonts w:ascii="Aptos" w:hAnsi="Aptos"/>
                <w:color w:val="122033"/>
                <w:sz w:val="19"/>
              </w:rPr>
              <w:t>Create UI laboratory routes/specimen pages for all accepted components and states.</w:t>
            </w:r>
          </w:p>
        </w:tc>
        <w:tc>
          <w:tcPr>
            <w:tcW w:type="dxa" w:w="2736"/>
            <w:vAlign w:val="top"/>
            <w:shd w:fill="F8FAFC"/>
          </w:tcPr>
          <w:p>
            <w:pPr>
              <w:spacing w:after="20"/>
            </w:pPr>
            <w:r>
              <w:rPr>
                <w:rFonts w:ascii="Aptos" w:hAnsi="Aptos"/>
                <w:color w:val="122033"/>
                <w:sz w:val="19"/>
              </w:rPr>
              <w:t>Running UI lab and documentation.</w:t>
            </w:r>
          </w:p>
        </w:tc>
      </w:tr>
      <w:tr>
        <w:tc>
          <w:tcPr>
            <w:tcW w:type="dxa" w:w="1440"/>
            <w:vAlign w:val="top"/>
          </w:tcPr>
          <w:p>
            <w:pPr>
              <w:spacing w:after="20"/>
            </w:pPr>
            <w:r>
              <w:rPr>
                <w:rFonts w:ascii="Aptos" w:hAnsi="Aptos"/>
                <w:color w:val="122033"/>
                <w:sz w:val="19"/>
              </w:rPr>
              <w:t>IB2-WP5</w:t>
            </w:r>
          </w:p>
        </w:tc>
        <w:tc>
          <w:tcPr>
            <w:tcW w:type="dxa" w:w="5328"/>
            <w:vAlign w:val="top"/>
          </w:tcPr>
          <w:p>
            <w:pPr>
              <w:spacing w:after="20"/>
            </w:pPr>
            <w:r>
              <w:rPr>
                <w:rFonts w:ascii="Aptos" w:hAnsi="Aptos"/>
                <w:color w:val="122033"/>
                <w:sz w:val="19"/>
              </w:rPr>
              <w:t>Activate accessibility automation, manual keyboard/focus checks and visual-regression baselines.</w:t>
            </w:r>
          </w:p>
        </w:tc>
        <w:tc>
          <w:tcPr>
            <w:tcW w:type="dxa" w:w="2736"/>
            <w:vAlign w:val="top"/>
          </w:tcPr>
          <w:p>
            <w:pPr>
              <w:spacing w:after="20"/>
            </w:pPr>
            <w:r>
              <w:rPr>
                <w:rFonts w:ascii="Aptos" w:hAnsi="Aptos"/>
                <w:color w:val="122033"/>
                <w:sz w:val="19"/>
              </w:rPr>
              <w:t>Automated and manual evidence retained under /evidence.</w:t>
            </w:r>
          </w:p>
        </w:tc>
      </w:tr>
      <w:tr>
        <w:tc>
          <w:tcPr>
            <w:tcW w:type="dxa" w:w="1440"/>
            <w:vAlign w:val="top"/>
            <w:shd w:fill="F8FAFC"/>
          </w:tcPr>
          <w:p>
            <w:pPr>
              <w:spacing w:after="20"/>
            </w:pPr>
            <w:r>
              <w:rPr>
                <w:rFonts w:ascii="Aptos" w:hAnsi="Aptos"/>
                <w:color w:val="122033"/>
                <w:sz w:val="19"/>
              </w:rPr>
              <w:t>IB2-WP6</w:t>
            </w:r>
          </w:p>
        </w:tc>
        <w:tc>
          <w:tcPr>
            <w:tcW w:type="dxa" w:w="5328"/>
            <w:vAlign w:val="top"/>
            <w:shd w:fill="F8FAFC"/>
          </w:tcPr>
          <w:p>
            <w:pPr>
              <w:spacing w:after="20"/>
            </w:pPr>
            <w:r>
              <w:rPr>
                <w:rFonts w:ascii="Aptos" w:hAnsi="Aptos"/>
                <w:color w:val="122033"/>
                <w:sz w:val="19"/>
              </w:rPr>
              <w:t>Validate representative components on supported browser/device profiles.</w:t>
            </w:r>
          </w:p>
        </w:tc>
        <w:tc>
          <w:tcPr>
            <w:tcW w:type="dxa" w:w="2736"/>
            <w:vAlign w:val="top"/>
            <w:shd w:fill="F8FAFC"/>
          </w:tcPr>
          <w:p>
            <w:pPr>
              <w:spacing w:after="20"/>
            </w:pPr>
            <w:r>
              <w:rPr>
                <w:rFonts w:ascii="Aptos" w:hAnsi="Aptos"/>
                <w:color w:val="122033"/>
                <w:sz w:val="19"/>
              </w:rPr>
              <w:t>Compatibility and responsive test record.</w:t>
            </w:r>
          </w:p>
        </w:tc>
      </w:tr>
    </w:tbl>
    <w:p>
      <w:pPr>
        <w:spacing w:after="40"/>
      </w:pPr>
    </w:p>
    <w:p>
      <w:pPr>
        <w:pStyle w:val="Heading2"/>
      </w:pPr>
      <w:r>
        <w:t>6.8 IB2 Exit Criteria</w:t>
      </w:r>
    </w:p>
    <w:p>
      <w:pPr>
        <w:pStyle w:val="BodyText"/>
        <w:spacing w:before="0" w:after="80"/>
      </w:pPr>
      <w:r>
        <w:rPr>
          <w:rFonts w:ascii="Aptos" w:hAnsi="Aptos"/>
          <w:b/>
          <w:sz w:val="24"/>
        </w:rPr>
        <w:t xml:space="preserve">(i) </w:t>
      </w:r>
      <w:r>
        <w:rPr>
          <w:rFonts w:ascii="Aptos" w:hAnsi="Aptos"/>
          <w:sz w:val="24"/>
        </w:rPr>
        <w:t>Semantic design tokens are versioned, documented and used by all accepted IB2 components.</w:t>
      </w:r>
    </w:p>
    <w:p>
      <w:pPr>
        <w:pStyle w:val="BodyText"/>
        <w:spacing w:before="0" w:after="80"/>
      </w:pPr>
      <w:r>
        <w:rPr>
          <w:rFonts w:ascii="Aptos" w:hAnsi="Aptos"/>
          <w:b/>
          <w:sz w:val="24"/>
        </w:rPr>
        <w:t xml:space="preserve">(ii) </w:t>
      </w:r>
      <w:r>
        <w:rPr>
          <w:rFonts w:ascii="Aptos" w:hAnsi="Aptos"/>
          <w:sz w:val="24"/>
        </w:rPr>
        <w:t>The initial component set is available through approved public package entry points with no product-specific business logic.</w:t>
      </w:r>
    </w:p>
    <w:p>
      <w:pPr>
        <w:pStyle w:val="BodyText"/>
        <w:spacing w:before="0" w:after="80"/>
      </w:pPr>
      <w:r>
        <w:rPr>
          <w:rFonts w:ascii="Aptos" w:hAnsi="Aptos"/>
          <w:b/>
          <w:sz w:val="24"/>
        </w:rPr>
        <w:t xml:space="preserve">(iii) </w:t>
      </w:r>
      <w:r>
        <w:rPr>
          <w:rFonts w:ascii="Aptos" w:hAnsi="Aptos"/>
          <w:sz w:val="24"/>
        </w:rPr>
        <w:t>Every accepted component demonstrates its required states in the UI laboratory.</w:t>
      </w:r>
    </w:p>
    <w:p>
      <w:pPr>
        <w:pStyle w:val="BodyText"/>
        <w:spacing w:before="0" w:after="80"/>
      </w:pPr>
      <w:r>
        <w:rPr>
          <w:rFonts w:ascii="Aptos" w:hAnsi="Aptos"/>
          <w:b/>
          <w:sz w:val="24"/>
        </w:rPr>
        <w:t xml:space="preserve">(iv) </w:t>
      </w:r>
      <w:r>
        <w:rPr>
          <w:rFonts w:ascii="Aptos" w:hAnsi="Aptos"/>
          <w:sz w:val="24"/>
        </w:rPr>
        <w:t>Keyboard, focus, semantics, contrast, responsive behaviour and representative manual accessibility checks pass.</w:t>
      </w:r>
    </w:p>
    <w:p>
      <w:pPr>
        <w:pStyle w:val="BodyText"/>
        <w:spacing w:before="0" w:after="80"/>
      </w:pPr>
      <w:r>
        <w:rPr>
          <w:rFonts w:ascii="Aptos" w:hAnsi="Aptos"/>
          <w:b/>
          <w:sz w:val="24"/>
        </w:rPr>
        <w:t xml:space="preserve">(v) </w:t>
      </w:r>
      <w:r>
        <w:rPr>
          <w:rFonts w:ascii="Aptos" w:hAnsi="Aptos"/>
          <w:sz w:val="24"/>
        </w:rPr>
        <w:t>Visual-regression baselines are retained for representative component variants and breakpoints.</w:t>
      </w:r>
    </w:p>
    <w:p>
      <w:pPr>
        <w:pStyle w:val="BodyText"/>
        <w:spacing w:before="0" w:after="80"/>
      </w:pPr>
      <w:r>
        <w:rPr>
          <w:rFonts w:ascii="Aptos" w:hAnsi="Aptos"/>
          <w:b/>
          <w:sz w:val="24"/>
        </w:rPr>
        <w:t xml:space="preserve">(vi) </w:t>
      </w:r>
      <w:r>
        <w:rPr>
          <w:rFonts w:ascii="Aptos" w:hAnsi="Aptos"/>
          <w:sz w:val="24"/>
        </w:rPr>
        <w:t>The UI laboratory runs from a clean build and provides sufficient evidence for IB3 to compose the enterprise shell from approved primitives.</w:t>
      </w:r>
    </w:p>
    <w:tbl>
      <w:tblPr>
        <w:tblW w:type="auto" w:w="0"/>
        <w:jc w:val="center"/>
        <w:tblLayout w:type="fixed"/>
        <w:tblLook w:firstColumn="1" w:firstRow="1" w:lastColumn="0" w:lastRow="0" w:noHBand="0" w:noVBand="1" w:val="04A0"/>
      </w:tblPr>
      <w:tblGrid>
        <w:gridCol w:w="9576"/>
      </w:tblGrid>
      <w:tr>
        <w:tc>
          <w:tcPr>
            <w:tcW w:type="dxa" w:w="10166"/>
            <w:shd w:fill="FFF8E7"/>
            <w:tcBorders>
              <w:top w:val="single" w:sz="12" w:color="D9A514"/>
              <w:left w:val="single" w:sz="12" w:color="D9A514"/>
              <w:bottom w:val="single" w:sz="8" w:color="D9A514"/>
              <w:right w:val="single" w:sz="8" w:color="D9A514"/>
            </w:tcBorders>
          </w:tcPr>
          <w:p>
            <w:pPr>
              <w:spacing w:before="80" w:after="80"/>
            </w:pPr>
            <w:r>
              <w:rPr>
                <w:rFonts w:ascii="Aptos" w:hAnsi="Aptos"/>
                <w:b/>
                <w:color w:val="D9A514"/>
                <w:sz w:val="21"/>
              </w:rPr>
              <w:t>IB2 EXIT DECISION</w:t>
              <w:br/>
            </w:r>
            <w:r>
              <w:rPr>
                <w:rFonts w:ascii="Aptos" w:hAnsi="Aptos"/>
                <w:color w:val="122033"/>
                <w:sz w:val="23"/>
              </w:rPr>
              <w:t>A component is not complete because it looks polished. It is complete when its API, states, responsive behaviour, accessibility, documentation and retained test evidence are all accepted.</w:t>
            </w:r>
          </w:p>
        </w:tc>
      </w:tr>
    </w:tbl>
    <w:p>
      <w:pPr>
        <w:spacing w:after="0"/>
      </w:pPr>
    </w:p>
    <w:p>
      <w:pPr>
        <w:pStyle w:val="Heading1"/>
      </w:pPr>
      <w:r>
        <w:t>7. Cross-Milestone Governance and Engineering Controls</w:t>
      </w:r>
    </w:p>
    <w:p>
      <w:pPr>
        <w:pStyle w:val="Heading2"/>
      </w:pPr>
      <w:r>
        <w:t>7.1 Roles and Accountability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E2E53"/>
            <w:vAlign w:val="center"/>
          </w:tcPr>
          <w:p>
            <w:pPr>
              <w:jc w:val="left"/>
            </w:pPr>
            <w:r>
              <w:rPr>
                <w:rFonts w:ascii="Aptos" w:hAnsi="Aptos"/>
                <w:b/>
                <w:color w:val="FFFFFF"/>
                <w:sz w:val="19"/>
              </w:rPr>
              <w:t>Role</w:t>
            </w:r>
          </w:p>
        </w:tc>
        <w:tc>
          <w:tcPr>
            <w:tcW w:type="dxa" w:w="6984"/>
            <w:shd w:fill="0E2E53"/>
            <w:vAlign w:val="center"/>
          </w:tcPr>
          <w:p>
            <w:pPr>
              <w:jc w:val="left"/>
            </w:pPr>
            <w:r>
              <w:rPr>
                <w:rFonts w:ascii="Aptos" w:hAnsi="Aptos"/>
                <w:b/>
                <w:color w:val="FFFFFF"/>
                <w:sz w:val="19"/>
              </w:rPr>
              <w:t>IB0–IB2 accountability</w:t>
            </w:r>
          </w:p>
        </w:tc>
      </w:tr>
      <w:tr>
        <w:tc>
          <w:tcPr>
            <w:tcW w:type="dxa" w:w="2592"/>
            <w:vAlign w:val="top"/>
          </w:tcPr>
          <w:p>
            <w:pPr>
              <w:spacing w:after="20"/>
            </w:pPr>
            <w:r>
              <w:rPr>
                <w:rFonts w:ascii="Aptos" w:hAnsi="Aptos"/>
                <w:color w:val="122033"/>
                <w:sz w:val="19"/>
              </w:rPr>
              <w:t>Solutions Architect</w:t>
            </w:r>
          </w:p>
        </w:tc>
        <w:tc>
          <w:tcPr>
            <w:tcW w:type="dxa" w:w="6984"/>
            <w:vAlign w:val="top"/>
          </w:tcPr>
          <w:p>
            <w:pPr>
              <w:spacing w:after="20"/>
            </w:pPr>
            <w:r>
              <w:rPr>
                <w:rFonts w:ascii="Aptos" w:hAnsi="Aptos"/>
                <w:color w:val="122033"/>
                <w:sz w:val="19"/>
              </w:rPr>
              <w:t>Own architecture conformance, dependency boundaries, exception decisions and milestone architecture acceptance.</w:t>
            </w:r>
          </w:p>
        </w:tc>
      </w:tr>
      <w:tr>
        <w:tc>
          <w:tcPr>
            <w:tcW w:type="dxa" w:w="2592"/>
            <w:vAlign w:val="top"/>
            <w:shd w:fill="F8FAFC"/>
          </w:tcPr>
          <w:p>
            <w:pPr>
              <w:spacing w:after="20"/>
            </w:pPr>
            <w:r>
              <w:rPr>
                <w:rFonts w:ascii="Aptos" w:hAnsi="Aptos"/>
                <w:color w:val="122033"/>
                <w:sz w:val="19"/>
              </w:rPr>
              <w:t>Main Product Owner</w:t>
            </w:r>
          </w:p>
        </w:tc>
        <w:tc>
          <w:tcPr>
            <w:tcW w:type="dxa" w:w="6984"/>
            <w:vAlign w:val="top"/>
            <w:shd w:fill="F8FAFC"/>
          </w:tcPr>
          <w:p>
            <w:pPr>
              <w:spacing w:after="20"/>
            </w:pPr>
            <w:r>
              <w:rPr>
                <w:rFonts w:ascii="Aptos" w:hAnsi="Aptos"/>
                <w:color w:val="122033"/>
                <w:sz w:val="19"/>
              </w:rPr>
              <w:t>Prioritise milestone outcomes, approve platform acceptance from product/reuse perspective and prevent premature product-specific divergence.</w:t>
            </w:r>
          </w:p>
        </w:tc>
      </w:tr>
      <w:tr>
        <w:tc>
          <w:tcPr>
            <w:tcW w:type="dxa" w:w="2592"/>
            <w:vAlign w:val="top"/>
          </w:tcPr>
          <w:p>
            <w:pPr>
              <w:spacing w:after="20"/>
            </w:pPr>
            <w:r>
              <w:rPr>
                <w:rFonts w:ascii="Aptos" w:hAnsi="Aptos"/>
                <w:color w:val="122033"/>
                <w:sz w:val="19"/>
              </w:rPr>
              <w:t>Frontend Platform Lead</w:t>
            </w:r>
          </w:p>
        </w:tc>
        <w:tc>
          <w:tcPr>
            <w:tcW w:type="dxa" w:w="6984"/>
            <w:vAlign w:val="top"/>
          </w:tcPr>
          <w:p>
            <w:pPr>
              <w:spacing w:after="20"/>
            </w:pPr>
            <w:r>
              <w:rPr>
                <w:rFonts w:ascii="Aptos" w:hAnsi="Aptos"/>
                <w:color w:val="122033"/>
                <w:sz w:val="19"/>
              </w:rPr>
              <w:t>Own workspace implementation, package APIs, component engineering and developer guidance.</w:t>
            </w:r>
          </w:p>
        </w:tc>
      </w:tr>
      <w:tr>
        <w:tc>
          <w:tcPr>
            <w:tcW w:type="dxa" w:w="2592"/>
            <w:vAlign w:val="top"/>
            <w:shd w:fill="F8FAFC"/>
          </w:tcPr>
          <w:p>
            <w:pPr>
              <w:spacing w:after="20"/>
            </w:pPr>
            <w:r>
              <w:rPr>
                <w:rFonts w:ascii="Aptos" w:hAnsi="Aptos"/>
                <w:color w:val="122033"/>
                <w:sz w:val="19"/>
              </w:rPr>
              <w:t>Platform Integration Lead</w:t>
            </w:r>
          </w:p>
        </w:tc>
        <w:tc>
          <w:tcPr>
            <w:tcW w:type="dxa" w:w="6984"/>
            <w:vAlign w:val="top"/>
            <w:shd w:fill="F8FAFC"/>
          </w:tcPr>
          <w:p>
            <w:pPr>
              <w:spacing w:after="20"/>
            </w:pPr>
            <w:r>
              <w:rPr>
                <w:rFonts w:ascii="Aptos" w:hAnsi="Aptos"/>
                <w:color w:val="122033"/>
                <w:sz w:val="19"/>
              </w:rPr>
              <w:t>Review contract/adapter boundaries and prepare later Frappe integration without leaking persistence coupling into IB1/IB2.</w:t>
            </w:r>
          </w:p>
        </w:tc>
      </w:tr>
      <w:tr>
        <w:tc>
          <w:tcPr>
            <w:tcW w:type="dxa" w:w="2592"/>
            <w:vAlign w:val="top"/>
          </w:tcPr>
          <w:p>
            <w:pPr>
              <w:spacing w:after="20"/>
            </w:pPr>
            <w:r>
              <w:rPr>
                <w:rFonts w:ascii="Aptos" w:hAnsi="Aptos"/>
                <w:color w:val="122033"/>
                <w:sz w:val="19"/>
              </w:rPr>
              <w:t>Security &amp; Assurance</w:t>
            </w:r>
          </w:p>
        </w:tc>
        <w:tc>
          <w:tcPr>
            <w:tcW w:type="dxa" w:w="6984"/>
            <w:vAlign w:val="top"/>
          </w:tcPr>
          <w:p>
            <w:pPr>
              <w:spacing w:after="20"/>
            </w:pPr>
            <w:r>
              <w:rPr>
                <w:rFonts w:ascii="Aptos" w:hAnsi="Aptos"/>
                <w:color w:val="122033"/>
                <w:sz w:val="19"/>
              </w:rPr>
              <w:t>Review runtime configuration, browser trust assumptions, dependency posture and negative security tests.</w:t>
            </w:r>
          </w:p>
        </w:tc>
      </w:tr>
      <w:tr>
        <w:tc>
          <w:tcPr>
            <w:tcW w:type="dxa" w:w="2592"/>
            <w:vAlign w:val="top"/>
            <w:shd w:fill="F8FAFC"/>
          </w:tcPr>
          <w:p>
            <w:pPr>
              <w:spacing w:after="20"/>
            </w:pPr>
            <w:r>
              <w:rPr>
                <w:rFonts w:ascii="Aptos" w:hAnsi="Aptos"/>
                <w:color w:val="122033"/>
                <w:sz w:val="19"/>
              </w:rPr>
              <w:t>Quality / Accessibility Lead</w:t>
            </w:r>
          </w:p>
        </w:tc>
        <w:tc>
          <w:tcPr>
            <w:tcW w:type="dxa" w:w="6984"/>
            <w:vAlign w:val="top"/>
            <w:shd w:fill="F8FAFC"/>
          </w:tcPr>
          <w:p>
            <w:pPr>
              <w:spacing w:after="20"/>
            </w:pPr>
            <w:r>
              <w:rPr>
                <w:rFonts w:ascii="Aptos" w:hAnsi="Aptos"/>
                <w:color w:val="122033"/>
                <w:sz w:val="19"/>
              </w:rPr>
              <w:t>Own accessibility, responsive, regression and UI-lab evidence gates.</w:t>
            </w:r>
          </w:p>
        </w:tc>
      </w:tr>
      <w:tr>
        <w:tc>
          <w:tcPr>
            <w:tcW w:type="dxa" w:w="2592"/>
            <w:vAlign w:val="top"/>
          </w:tcPr>
          <w:p>
            <w:pPr>
              <w:spacing w:after="20"/>
            </w:pPr>
            <w:r>
              <w:rPr>
                <w:rFonts w:ascii="Aptos" w:hAnsi="Aptos"/>
                <w:color w:val="122033"/>
                <w:sz w:val="19"/>
              </w:rPr>
              <w:t>DevOps / Release Engineering</w:t>
            </w:r>
          </w:p>
        </w:tc>
        <w:tc>
          <w:tcPr>
            <w:tcW w:type="dxa" w:w="6984"/>
            <w:vAlign w:val="top"/>
          </w:tcPr>
          <w:p>
            <w:pPr>
              <w:spacing w:after="20"/>
            </w:pPr>
            <w:r>
              <w:rPr>
                <w:rFonts w:ascii="Aptos" w:hAnsi="Aptos"/>
                <w:color w:val="122033"/>
                <w:sz w:val="19"/>
              </w:rPr>
              <w:t>Own deterministic builds, CI evidence, artefact publication and provenance/SBOM automation where introduced.</w:t>
            </w:r>
          </w:p>
        </w:tc>
      </w:tr>
    </w:tbl>
    <w:p>
      <w:pPr>
        <w:spacing w:after="40"/>
      </w:pPr>
    </w:p>
    <w:p>
      <w:pPr>
        <w:pStyle w:val="Heading2"/>
      </w:pPr>
      <w:r>
        <w:t>7.2 Evidence Retention</w:t>
      </w:r>
    </w:p>
    <w:p>
      <w:pPr>
        <w:pStyle w:val="BodyText"/>
        <w:spacing w:before="0" w:after="80"/>
      </w:pPr>
      <w:r>
        <w:rPr>
          <w:rFonts w:ascii="Aptos" w:hAnsi="Aptos"/>
          <w:b/>
          <w:sz w:val="24"/>
        </w:rPr>
        <w:t xml:space="preserve">(i) </w:t>
      </w:r>
      <w:r>
        <w:rPr>
          <w:rFonts w:ascii="Aptos" w:hAnsi="Aptos"/>
          <w:sz w:val="24"/>
        </w:rPr>
        <w:t>IB0 evidence shall retain clean-build logs, architecture-boundary checks, compiler/lint results and baseline CI execution records.</w:t>
      </w:r>
    </w:p>
    <w:p>
      <w:pPr>
        <w:pStyle w:val="BodyText"/>
        <w:spacing w:before="0" w:after="80"/>
      </w:pPr>
      <w:r>
        <w:rPr>
          <w:rFonts w:ascii="Aptos" w:hAnsi="Aptos"/>
          <w:b/>
          <w:sz w:val="24"/>
        </w:rPr>
        <w:t xml:space="preserve">(ii) </w:t>
      </w:r>
      <w:r>
        <w:rPr>
          <w:rFonts w:ascii="Aptos" w:hAnsi="Aptos"/>
          <w:sz w:val="24"/>
        </w:rPr>
        <w:t>IB1 evidence shall retain contract tests, dependency audit, runtime schema/fixtures, valid/invalid bootstrap tests and compatibility checks.</w:t>
      </w:r>
    </w:p>
    <w:p>
      <w:pPr>
        <w:pStyle w:val="BodyText"/>
        <w:spacing w:before="0" w:after="80"/>
      </w:pPr>
      <w:r>
        <w:rPr>
          <w:rFonts w:ascii="Aptos" w:hAnsi="Aptos"/>
          <w:b/>
          <w:sz w:val="24"/>
        </w:rPr>
        <w:t xml:space="preserve">(iii) </w:t>
      </w:r>
      <w:r>
        <w:rPr>
          <w:rFonts w:ascii="Aptos" w:hAnsi="Aptos"/>
          <w:sz w:val="24"/>
        </w:rPr>
        <w:t>IB2 evidence shall retain token/component tests, accessibility results, responsive/RTL evidence, visual-regression baselines and UI-lab documentation.</w:t>
      </w:r>
    </w:p>
    <w:p>
      <w:pPr>
        <w:pStyle w:val="BodyText"/>
        <w:spacing w:before="0" w:after="80"/>
      </w:pPr>
      <w:r>
        <w:rPr>
          <w:rFonts w:ascii="Aptos" w:hAnsi="Aptos"/>
          <w:b/>
          <w:sz w:val="24"/>
        </w:rPr>
        <w:t xml:space="preserve">(iv) </w:t>
      </w:r>
      <w:r>
        <w:rPr>
          <w:rFonts w:ascii="Aptos" w:hAnsi="Aptos"/>
          <w:sz w:val="24"/>
        </w:rPr>
        <w:t>Exceptions shall be linked to an approved ADR and retained with their rationale, owner, scope and sunset/compatibility condition.</w:t>
      </w:r>
    </w:p>
    <w:p>
      <w:pPr>
        <w:pStyle w:val="BodyText"/>
        <w:spacing w:before="0" w:after="80"/>
      </w:pPr>
      <w:r>
        <w:rPr>
          <w:rFonts w:ascii="Aptos" w:hAnsi="Aptos"/>
          <w:b/>
          <w:sz w:val="24"/>
        </w:rPr>
        <w:t xml:space="preserve">(v) </w:t>
      </w:r>
      <w:r>
        <w:rPr>
          <w:rFonts w:ascii="Aptos" w:hAnsi="Aptos"/>
          <w:sz w:val="24"/>
        </w:rPr>
        <w:t>Milestone acceptance shall be recorded before the next milestone is treated as the controlled baseline.</w:t>
      </w:r>
    </w:p>
    <w:p>
      <w:pPr>
        <w:pStyle w:val="Heading2"/>
      </w:pPr>
      <w:r>
        <w:t>7.3 Principal Risks and Controls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0E2E53"/>
            <w:vAlign w:val="center"/>
          </w:tcPr>
          <w:p>
            <w:pPr>
              <w:jc w:val="left"/>
            </w:pPr>
            <w:r>
              <w:rPr>
                <w:rFonts w:ascii="Aptos" w:hAnsi="Aptos"/>
                <w:b/>
                <w:color w:val="FFFFFF"/>
                <w:sz w:val="18"/>
              </w:rPr>
              <w:t>Risk</w:t>
            </w:r>
          </w:p>
        </w:tc>
        <w:tc>
          <w:tcPr>
            <w:tcW w:type="dxa" w:w="3672"/>
            <w:shd w:fill="0E2E53"/>
            <w:vAlign w:val="center"/>
          </w:tcPr>
          <w:p>
            <w:pPr>
              <w:jc w:val="left"/>
            </w:pPr>
            <w:r>
              <w:rPr>
                <w:rFonts w:ascii="Aptos" w:hAnsi="Aptos"/>
                <w:b/>
                <w:color w:val="FFFFFF"/>
                <w:sz w:val="18"/>
              </w:rPr>
              <w:t>Consequence</w:t>
            </w:r>
          </w:p>
        </w:tc>
        <w:tc>
          <w:tcPr>
            <w:tcW w:type="dxa" w:w="3672"/>
            <w:shd w:fill="0E2E53"/>
            <w:vAlign w:val="center"/>
          </w:tcPr>
          <w:p>
            <w:pPr>
              <w:jc w:val="left"/>
            </w:pPr>
            <w:r>
              <w:rPr>
                <w:rFonts w:ascii="Aptos" w:hAnsi="Aptos"/>
                <w:b/>
                <w:color w:val="FFFFFF"/>
                <w:sz w:val="18"/>
              </w:rPr>
              <w:t>Control</w:t>
            </w:r>
          </w:p>
        </w:tc>
      </w:tr>
      <w:tr>
        <w:tc>
          <w:tcPr>
            <w:tcW w:type="dxa" w:w="2232"/>
            <w:vAlign w:val="top"/>
          </w:tcPr>
          <w:p>
            <w:pPr>
              <w:spacing w:after="20"/>
            </w:pPr>
            <w:r>
              <w:rPr>
                <w:rFonts w:ascii="Aptos" w:hAnsi="Aptos"/>
                <w:color w:val="122033"/>
                <w:sz w:val="18"/>
              </w:rPr>
              <w:t>UI work starts before IB0 governance</w:t>
            </w:r>
          </w:p>
        </w:tc>
        <w:tc>
          <w:tcPr>
            <w:tcW w:type="dxa" w:w="3672"/>
            <w:vAlign w:val="top"/>
          </w:tcPr>
          <w:p>
            <w:pPr>
              <w:spacing w:after="20"/>
            </w:pPr>
            <w:r>
              <w:rPr>
                <w:rFonts w:ascii="Aptos" w:hAnsi="Aptos"/>
                <w:color w:val="122033"/>
                <w:sz w:val="18"/>
              </w:rPr>
              <w:t>Architecture drift and duplicate patterns become expensive to reverse.</w:t>
            </w:r>
          </w:p>
        </w:tc>
        <w:tc>
          <w:tcPr>
            <w:tcW w:type="dxa" w:w="3672"/>
            <w:vAlign w:val="top"/>
          </w:tcPr>
          <w:p>
            <w:pPr>
              <w:spacing w:after="20"/>
            </w:pPr>
            <w:r>
              <w:rPr>
                <w:rFonts w:ascii="Aptos" w:hAnsi="Aptos"/>
                <w:color w:val="122033"/>
                <w:sz w:val="18"/>
              </w:rPr>
              <w:t>Block uncontrolled package/screen work until workspace/boundary gates are operational.</w:t>
            </w:r>
          </w:p>
        </w:tc>
      </w:tr>
      <w:tr>
        <w:tc>
          <w:tcPr>
            <w:tcW w:type="dxa" w:w="2232"/>
            <w:vAlign w:val="top"/>
            <w:shd w:fill="F8FAFC"/>
          </w:tcPr>
          <w:p>
            <w:pPr>
              <w:spacing w:after="20"/>
            </w:pPr>
            <w:r>
              <w:rPr>
                <w:rFonts w:ascii="Aptos" w:hAnsi="Aptos"/>
                <w:color w:val="122033"/>
                <w:sz w:val="18"/>
              </w:rPr>
              <w:t>Contracts leak Frappe/Angular implementation</w:t>
            </w:r>
          </w:p>
        </w:tc>
        <w:tc>
          <w:tcPr>
            <w:tcW w:type="dxa" w:w="3672"/>
            <w:vAlign w:val="top"/>
            <w:shd w:fill="F8FAFC"/>
          </w:tcPr>
          <w:p>
            <w:pPr>
              <w:spacing w:after="20"/>
            </w:pPr>
            <w:r>
              <w:rPr>
                <w:rFonts w:ascii="Aptos" w:hAnsi="Aptos"/>
                <w:color w:val="122033"/>
                <w:sz w:val="18"/>
              </w:rPr>
              <w:t>Reduced portability and difficult testing/replacement of adapters.</w:t>
            </w:r>
          </w:p>
        </w:tc>
        <w:tc>
          <w:tcPr>
            <w:tcW w:type="dxa" w:w="3672"/>
            <w:vAlign w:val="top"/>
            <w:shd w:fill="F8FAFC"/>
          </w:tcPr>
          <w:p>
            <w:pPr>
              <w:spacing w:after="20"/>
            </w:pPr>
            <w:r>
              <w:rPr>
                <w:rFonts w:ascii="Aptos" w:hAnsi="Aptos"/>
                <w:color w:val="122033"/>
                <w:sz w:val="18"/>
              </w:rPr>
              <w:t>Independent contract compilation and forbidden dependency checks.</w:t>
            </w:r>
          </w:p>
        </w:tc>
      </w:tr>
      <w:tr>
        <w:tc>
          <w:tcPr>
            <w:tcW w:type="dxa" w:w="2232"/>
            <w:vAlign w:val="top"/>
          </w:tcPr>
          <w:p>
            <w:pPr>
              <w:spacing w:after="20"/>
            </w:pPr>
            <w:r>
              <w:rPr>
                <w:rFonts w:ascii="Aptos" w:hAnsi="Aptos"/>
                <w:color w:val="122033"/>
                <w:sz w:val="18"/>
              </w:rPr>
              <w:t>Runtime configuration becomes secret storage</w:t>
            </w:r>
          </w:p>
        </w:tc>
        <w:tc>
          <w:tcPr>
            <w:tcW w:type="dxa" w:w="3672"/>
            <w:vAlign w:val="top"/>
          </w:tcPr>
          <w:p>
            <w:pPr>
              <w:spacing w:after="20"/>
            </w:pPr>
            <w:r>
              <w:rPr>
                <w:rFonts w:ascii="Aptos" w:hAnsi="Aptos"/>
                <w:color w:val="122033"/>
                <w:sz w:val="18"/>
              </w:rPr>
              <w:t>Credential leakage into browser bundles or deployment files.</w:t>
            </w:r>
          </w:p>
        </w:tc>
        <w:tc>
          <w:tcPr>
            <w:tcW w:type="dxa" w:w="3672"/>
            <w:vAlign w:val="top"/>
          </w:tcPr>
          <w:p>
            <w:pPr>
              <w:spacing w:after="20"/>
            </w:pPr>
            <w:r>
              <w:rPr>
                <w:rFonts w:ascii="Aptos" w:hAnsi="Aptos"/>
                <w:color w:val="122033"/>
                <w:sz w:val="18"/>
              </w:rPr>
              <w:t>Schema excludes secrets; security review and fail-safe configuration policy.</w:t>
            </w:r>
          </w:p>
        </w:tc>
      </w:tr>
      <w:tr>
        <w:tc>
          <w:tcPr>
            <w:tcW w:type="dxa" w:w="2232"/>
            <w:vAlign w:val="top"/>
            <w:shd w:fill="F8FAFC"/>
          </w:tcPr>
          <w:p>
            <w:pPr>
              <w:spacing w:after="20"/>
            </w:pPr>
            <w:r>
              <w:rPr>
                <w:rFonts w:ascii="Aptos" w:hAnsi="Aptos"/>
                <w:color w:val="122033"/>
                <w:sz w:val="18"/>
              </w:rPr>
              <w:t>IB2 becomes a visual theme only</w:t>
            </w:r>
          </w:p>
        </w:tc>
        <w:tc>
          <w:tcPr>
            <w:tcW w:type="dxa" w:w="3672"/>
            <w:vAlign w:val="top"/>
            <w:shd w:fill="F8FAFC"/>
          </w:tcPr>
          <w:p>
            <w:pPr>
              <w:spacing w:after="20"/>
            </w:pPr>
            <w:r>
              <w:rPr>
                <w:rFonts w:ascii="Aptos" w:hAnsi="Aptos"/>
                <w:color w:val="122033"/>
                <w:sz w:val="18"/>
              </w:rPr>
              <w:t>Products still duplicate states, accessibility and behaviour.</w:t>
            </w:r>
          </w:p>
        </w:tc>
        <w:tc>
          <w:tcPr>
            <w:tcW w:type="dxa" w:w="3672"/>
            <w:vAlign w:val="top"/>
            <w:shd w:fill="F8FAFC"/>
          </w:tcPr>
          <w:p>
            <w:pPr>
              <w:spacing w:after="20"/>
            </w:pPr>
            <w:r>
              <w:rPr>
                <w:rFonts w:ascii="Aptos" w:hAnsi="Aptos"/>
                <w:color w:val="122033"/>
                <w:sz w:val="18"/>
              </w:rPr>
              <w:t>Component acceptance includes state completeness, a11y, responsive and test evidence.</w:t>
            </w:r>
          </w:p>
        </w:tc>
      </w:tr>
      <w:tr>
        <w:tc>
          <w:tcPr>
            <w:tcW w:type="dxa" w:w="2232"/>
            <w:vAlign w:val="top"/>
          </w:tcPr>
          <w:p>
            <w:pPr>
              <w:spacing w:after="20"/>
            </w:pPr>
            <w:r>
              <w:rPr>
                <w:rFonts w:ascii="Aptos" w:hAnsi="Aptos"/>
                <w:color w:val="122033"/>
                <w:sz w:val="18"/>
              </w:rPr>
              <w:t>Too many components built too early</w:t>
            </w:r>
          </w:p>
        </w:tc>
        <w:tc>
          <w:tcPr>
            <w:tcW w:type="dxa" w:w="3672"/>
            <w:vAlign w:val="top"/>
          </w:tcPr>
          <w:p>
            <w:pPr>
              <w:spacing w:after="20"/>
            </w:pPr>
            <w:r>
              <w:rPr>
                <w:rFonts w:ascii="Aptos" w:hAnsi="Aptos"/>
                <w:color w:val="122033"/>
                <w:sz w:val="18"/>
              </w:rPr>
              <w:t>Platform backlog grows before patterns are validated.</w:t>
            </w:r>
          </w:p>
        </w:tc>
        <w:tc>
          <w:tcPr>
            <w:tcW w:type="dxa" w:w="3672"/>
            <w:vAlign w:val="top"/>
          </w:tcPr>
          <w:p>
            <w:pPr>
              <w:spacing w:after="20"/>
            </w:pPr>
            <w:r>
              <w:rPr>
                <w:rFonts w:ascii="Aptos" w:hAnsi="Aptos"/>
                <w:color w:val="122033"/>
                <w:sz w:val="18"/>
              </w:rPr>
              <w:t>Start with small high-value primitive set and expand only through reuse demand.</w:t>
            </w:r>
          </w:p>
        </w:tc>
      </w:tr>
      <w:tr>
        <w:tc>
          <w:tcPr>
            <w:tcW w:type="dxa" w:w="2232"/>
            <w:vAlign w:val="top"/>
            <w:shd w:fill="F8FAFC"/>
          </w:tcPr>
          <w:p>
            <w:pPr>
              <w:spacing w:after="20"/>
            </w:pPr>
            <w:r>
              <w:rPr>
                <w:rFonts w:ascii="Aptos" w:hAnsi="Aptos"/>
                <w:color w:val="122033"/>
                <w:sz w:val="18"/>
              </w:rPr>
              <w:t>Product branding overrides semantic states</w:t>
            </w:r>
          </w:p>
        </w:tc>
        <w:tc>
          <w:tcPr>
            <w:tcW w:type="dxa" w:w="3672"/>
            <w:vAlign w:val="top"/>
            <w:shd w:fill="F8FAFC"/>
          </w:tcPr>
          <w:p>
            <w:pPr>
              <w:spacing w:after="20"/>
            </w:pPr>
            <w:r>
              <w:rPr>
                <w:rFonts w:ascii="Aptos" w:hAnsi="Aptos"/>
                <w:color w:val="122033"/>
                <w:sz w:val="18"/>
              </w:rPr>
              <w:t>Accessibility/security meaning becomes inconsistent.</w:t>
            </w:r>
          </w:p>
        </w:tc>
        <w:tc>
          <w:tcPr>
            <w:tcW w:type="dxa" w:w="3672"/>
            <w:vAlign w:val="top"/>
            <w:shd w:fill="F8FAFC"/>
          </w:tcPr>
          <w:p>
            <w:pPr>
              <w:spacing w:after="20"/>
            </w:pPr>
            <w:r>
              <w:rPr>
                <w:rFonts w:ascii="Aptos" w:hAnsi="Aptos"/>
                <w:color w:val="122033"/>
                <w:sz w:val="18"/>
              </w:rPr>
              <w:t>Semantic state tokens are non-overridable by product brand profiles.</w:t>
            </w:r>
          </w:p>
        </w:tc>
      </w:tr>
    </w:tbl>
    <w:p>
      <w:pPr>
        <w:spacing w:after="40"/>
      </w:pPr>
    </w:p>
    <w:p>
      <w:pPr>
        <w:pStyle w:val="Heading1"/>
      </w:pPr>
      <w:r>
        <w:t>8. Completion Baseline Before IB3</w:t>
      </w:r>
    </w:p>
    <w:p>
      <w:r>
        <w:rPr>
          <w:rFonts w:ascii="Aptos" w:hAnsi="Aptos"/>
          <w:sz w:val="24"/>
        </w:rPr>
        <w:t>IB0–IB2 shall leave PAEP with a credible platform kernel, not a complete business application. The following readiness matrix defines what must and must not exist before IB3 begins.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shd w:fill="0E2E53"/>
            <w:vAlign w:val="center"/>
          </w:tcPr>
          <w:p>
            <w:pPr>
              <w:jc w:val="left"/>
            </w:pPr>
            <w:r>
              <w:rPr>
                <w:rFonts w:ascii="Aptos" w:hAnsi="Aptos"/>
                <w:b/>
                <w:color w:val="FFFFFF"/>
                <w:sz w:val="19"/>
              </w:rPr>
              <w:t>Capability</w:t>
            </w:r>
          </w:p>
        </w:tc>
        <w:tc>
          <w:tcPr>
            <w:tcW w:type="dxa" w:w="5832"/>
            <w:shd w:fill="0E2E53"/>
            <w:vAlign w:val="center"/>
          </w:tcPr>
          <w:p>
            <w:pPr>
              <w:jc w:val="left"/>
            </w:pPr>
            <w:r>
              <w:rPr>
                <w:rFonts w:ascii="Aptos" w:hAnsi="Aptos"/>
                <w:b/>
                <w:color w:val="FFFFFF"/>
                <w:sz w:val="19"/>
              </w:rPr>
              <w:t>Expected state after IB2</w:t>
            </w:r>
          </w:p>
        </w:tc>
      </w:tr>
      <w:tr>
        <w:tc>
          <w:tcPr>
            <w:tcW w:type="dxa" w:w="3744"/>
            <w:vAlign w:val="top"/>
          </w:tcPr>
          <w:p>
            <w:pPr>
              <w:spacing w:after="20"/>
            </w:pPr>
            <w:r>
              <w:rPr>
                <w:rFonts w:ascii="Aptos" w:hAnsi="Aptos"/>
                <w:color w:val="122033"/>
                <w:sz w:val="19"/>
              </w:rPr>
              <w:t>Governed monorepo</w:t>
            </w:r>
          </w:p>
        </w:tc>
        <w:tc>
          <w:tcPr>
            <w:tcW w:type="dxa" w:w="5832"/>
            <w:vAlign w:val="top"/>
          </w:tcPr>
          <w:p>
            <w:pPr>
              <w:spacing w:after="20"/>
            </w:pPr>
            <w:r>
              <w:rPr>
                <w:rFonts w:ascii="Aptos" w:hAnsi="Aptos"/>
                <w:color w:val="122033"/>
                <w:sz w:val="19"/>
              </w:rPr>
              <w:t>Complete and reproducible.</w:t>
            </w:r>
          </w:p>
        </w:tc>
      </w:tr>
      <w:tr>
        <w:tc>
          <w:tcPr>
            <w:tcW w:type="dxa" w:w="3744"/>
            <w:vAlign w:val="top"/>
            <w:shd w:fill="F8FAFC"/>
          </w:tcPr>
          <w:p>
            <w:pPr>
              <w:spacing w:after="20"/>
            </w:pPr>
            <w:r>
              <w:rPr>
                <w:rFonts w:ascii="Aptos" w:hAnsi="Aptos"/>
                <w:color w:val="122033"/>
                <w:sz w:val="19"/>
              </w:rPr>
              <w:t>Package dependency rules</w:t>
            </w:r>
          </w:p>
        </w:tc>
        <w:tc>
          <w:tcPr>
            <w:tcW w:type="dxa" w:w="5832"/>
            <w:vAlign w:val="top"/>
            <w:shd w:fill="F8FAFC"/>
          </w:tcPr>
          <w:p>
            <w:pPr>
              <w:spacing w:after="20"/>
            </w:pPr>
            <w:r>
              <w:rPr>
                <w:rFonts w:ascii="Aptos" w:hAnsi="Aptos"/>
                <w:color w:val="122033"/>
                <w:sz w:val="19"/>
              </w:rPr>
              <w:t>Automatically enforced in CI.</w:t>
            </w:r>
          </w:p>
        </w:tc>
      </w:tr>
      <w:tr>
        <w:tc>
          <w:tcPr>
            <w:tcW w:type="dxa" w:w="3744"/>
            <w:vAlign w:val="top"/>
          </w:tcPr>
          <w:p>
            <w:pPr>
              <w:spacing w:after="20"/>
            </w:pPr>
            <w:r>
              <w:rPr>
                <w:rFonts w:ascii="Aptos" w:hAnsi="Aptos"/>
                <w:color w:val="122033"/>
                <w:sz w:val="19"/>
              </w:rPr>
              <w:t>@proseit/paep-contracts</w:t>
            </w:r>
          </w:p>
        </w:tc>
        <w:tc>
          <w:tcPr>
            <w:tcW w:type="dxa" w:w="5832"/>
            <w:vAlign w:val="top"/>
          </w:tcPr>
          <w:p>
            <w:pPr>
              <w:spacing w:after="20"/>
            </w:pPr>
            <w:r>
              <w:rPr>
                <w:rFonts w:ascii="Aptos" w:hAnsi="Aptos"/>
                <w:color w:val="122033"/>
                <w:sz w:val="19"/>
              </w:rPr>
              <w:t>Compiles independently and exposes reviewed public contracts.</w:t>
            </w:r>
          </w:p>
        </w:tc>
      </w:tr>
      <w:tr>
        <w:tc>
          <w:tcPr>
            <w:tcW w:type="dxa" w:w="3744"/>
            <w:vAlign w:val="top"/>
            <w:shd w:fill="F8FAFC"/>
          </w:tcPr>
          <w:p>
            <w:pPr>
              <w:spacing w:after="20"/>
            </w:pPr>
            <w:r>
              <w:rPr>
                <w:rFonts w:ascii="Aptos" w:hAnsi="Aptos"/>
                <w:color w:val="122033"/>
                <w:sz w:val="19"/>
              </w:rPr>
              <w:t>Runtime configuration schema</w:t>
            </w:r>
          </w:p>
        </w:tc>
        <w:tc>
          <w:tcPr>
            <w:tcW w:type="dxa" w:w="5832"/>
            <w:vAlign w:val="top"/>
            <w:shd w:fill="F8FAFC"/>
          </w:tcPr>
          <w:p>
            <w:pPr>
              <w:spacing w:after="20"/>
            </w:pPr>
            <w:r>
              <w:rPr>
                <w:rFonts w:ascii="Aptos" w:hAnsi="Aptos"/>
                <w:color w:val="122033"/>
                <w:sz w:val="19"/>
              </w:rPr>
              <w:t>Implemented, versioned and covered by valid/invalid fixtures.</w:t>
            </w:r>
          </w:p>
        </w:tc>
      </w:tr>
      <w:tr>
        <w:tc>
          <w:tcPr>
            <w:tcW w:type="dxa" w:w="3744"/>
            <w:vAlign w:val="top"/>
          </w:tcPr>
          <w:p>
            <w:pPr>
              <w:spacing w:after="20"/>
            </w:pPr>
            <w:r>
              <w:rPr>
                <w:rFonts w:ascii="Aptos" w:hAnsi="Aptos"/>
                <w:color w:val="122033"/>
                <w:sz w:val="19"/>
              </w:rPr>
              <w:t>Runtime validator / fail-safe bootstrap</w:t>
            </w:r>
          </w:p>
        </w:tc>
        <w:tc>
          <w:tcPr>
            <w:tcW w:type="dxa" w:w="5832"/>
            <w:vAlign w:val="top"/>
          </w:tcPr>
          <w:p>
            <w:pPr>
              <w:spacing w:after="20"/>
            </w:pPr>
            <w:r>
              <w:rPr>
                <w:rFonts w:ascii="Aptos" w:hAnsi="Aptos"/>
                <w:color w:val="122033"/>
                <w:sz w:val="19"/>
              </w:rPr>
              <w:t>Working and test-backed.</w:t>
            </w:r>
          </w:p>
        </w:tc>
      </w:tr>
      <w:tr>
        <w:tc>
          <w:tcPr>
            <w:tcW w:type="dxa" w:w="3744"/>
            <w:vAlign w:val="top"/>
            <w:shd w:fill="F8FAFC"/>
          </w:tcPr>
          <w:p>
            <w:pPr>
              <w:spacing w:after="20"/>
            </w:pPr>
            <w:r>
              <w:rPr>
                <w:rFonts w:ascii="Aptos" w:hAnsi="Aptos"/>
                <w:color w:val="122033"/>
                <w:sz w:val="19"/>
              </w:rPr>
              <w:t>Reporting contracts</w:t>
            </w:r>
          </w:p>
        </w:tc>
        <w:tc>
          <w:tcPr>
            <w:tcW w:type="dxa" w:w="5832"/>
            <w:vAlign w:val="top"/>
            <w:shd w:fill="F8FAFC"/>
          </w:tcPr>
          <w:p>
            <w:pPr>
              <w:spacing w:after="20"/>
            </w:pPr>
            <w:r>
              <w:rPr>
                <w:rFonts w:ascii="Aptos" w:hAnsi="Aptos"/>
                <w:color w:val="122033"/>
                <w:sz w:val="19"/>
              </w:rPr>
              <w:t>Defined and compiling; no dashboard implementation required yet.</w:t>
            </w:r>
          </w:p>
        </w:tc>
      </w:tr>
      <w:tr>
        <w:tc>
          <w:tcPr>
            <w:tcW w:type="dxa" w:w="3744"/>
            <w:vAlign w:val="top"/>
          </w:tcPr>
          <w:p>
            <w:pPr>
              <w:spacing w:after="20"/>
            </w:pPr>
            <w:r>
              <w:rPr>
                <w:rFonts w:ascii="Aptos" w:hAnsi="Aptos"/>
                <w:color w:val="122033"/>
                <w:sz w:val="19"/>
              </w:rPr>
              <w:t>Foundation tokens</w:t>
            </w:r>
          </w:p>
        </w:tc>
        <w:tc>
          <w:tcPr>
            <w:tcW w:type="dxa" w:w="5832"/>
            <w:vAlign w:val="top"/>
          </w:tcPr>
          <w:p>
            <w:pPr>
              <w:spacing w:after="20"/>
            </w:pPr>
            <w:r>
              <w:rPr>
                <w:rFonts w:ascii="Aptos" w:hAnsi="Aptos"/>
                <w:color w:val="122033"/>
                <w:sz w:val="19"/>
              </w:rPr>
              <w:t>Implemented and documented.</w:t>
            </w:r>
          </w:p>
        </w:tc>
      </w:tr>
      <w:tr>
        <w:tc>
          <w:tcPr>
            <w:tcW w:type="dxa" w:w="3744"/>
            <w:vAlign w:val="top"/>
            <w:shd w:fill="F8FAFC"/>
          </w:tcPr>
          <w:p>
            <w:pPr>
              <w:spacing w:after="20"/>
            </w:pPr>
            <w:r>
              <w:rPr>
                <w:rFonts w:ascii="Aptos" w:hAnsi="Aptos"/>
                <w:color w:val="122033"/>
                <w:sz w:val="19"/>
              </w:rPr>
              <w:t>Responsive layout rules</w:t>
            </w:r>
          </w:p>
        </w:tc>
        <w:tc>
          <w:tcPr>
            <w:tcW w:type="dxa" w:w="5832"/>
            <w:vAlign w:val="top"/>
            <w:shd w:fill="F8FAFC"/>
          </w:tcPr>
          <w:p>
            <w:pPr>
              <w:spacing w:after="20"/>
            </w:pPr>
            <w:r>
              <w:rPr>
                <w:rFonts w:ascii="Aptos" w:hAnsi="Aptos"/>
                <w:color w:val="122033"/>
                <w:sz w:val="19"/>
              </w:rPr>
              <w:t>Implemented and represented in UI lab.</w:t>
            </w:r>
          </w:p>
        </w:tc>
      </w:tr>
      <w:tr>
        <w:tc>
          <w:tcPr>
            <w:tcW w:type="dxa" w:w="3744"/>
            <w:vAlign w:val="top"/>
          </w:tcPr>
          <w:p>
            <w:pPr>
              <w:spacing w:after="20"/>
            </w:pPr>
            <w:r>
              <w:rPr>
                <w:rFonts w:ascii="Aptos" w:hAnsi="Aptos"/>
                <w:color w:val="122033"/>
                <w:sz w:val="19"/>
              </w:rPr>
              <w:t>Initial reusable components</w:t>
            </w:r>
          </w:p>
        </w:tc>
        <w:tc>
          <w:tcPr>
            <w:tcW w:type="dxa" w:w="5832"/>
            <w:vAlign w:val="top"/>
          </w:tcPr>
          <w:p>
            <w:pPr>
              <w:spacing w:after="20"/>
            </w:pPr>
            <w:r>
              <w:rPr>
                <w:rFonts w:ascii="Aptos" w:hAnsi="Aptos"/>
                <w:color w:val="122033"/>
                <w:sz w:val="19"/>
              </w:rPr>
              <w:t>Implemented with required states and evidence.</w:t>
            </w:r>
          </w:p>
        </w:tc>
      </w:tr>
      <w:tr>
        <w:tc>
          <w:tcPr>
            <w:tcW w:type="dxa" w:w="3744"/>
            <w:vAlign w:val="top"/>
            <w:shd w:fill="F8FAFC"/>
          </w:tcPr>
          <w:p>
            <w:pPr>
              <w:spacing w:after="20"/>
            </w:pPr>
            <w:r>
              <w:rPr>
                <w:rFonts w:ascii="Aptos" w:hAnsi="Aptos"/>
                <w:color w:val="122033"/>
                <w:sz w:val="19"/>
              </w:rPr>
              <w:t>UI laboratory</w:t>
            </w:r>
          </w:p>
        </w:tc>
        <w:tc>
          <w:tcPr>
            <w:tcW w:type="dxa" w:w="5832"/>
            <w:vAlign w:val="top"/>
            <w:shd w:fill="F8FAFC"/>
          </w:tcPr>
          <w:p>
            <w:pPr>
              <w:spacing w:after="20"/>
            </w:pPr>
            <w:r>
              <w:rPr>
                <w:rFonts w:ascii="Aptos" w:hAnsi="Aptos"/>
                <w:color w:val="122033"/>
                <w:sz w:val="19"/>
              </w:rPr>
              <w:t>Running and retained as platform documentation/evidence.</w:t>
            </w:r>
          </w:p>
        </w:tc>
      </w:tr>
      <w:tr>
        <w:tc>
          <w:tcPr>
            <w:tcW w:type="dxa" w:w="3744"/>
            <w:vAlign w:val="top"/>
          </w:tcPr>
          <w:p>
            <w:pPr>
              <w:spacing w:after="20"/>
            </w:pPr>
            <w:r>
              <w:rPr>
                <w:rFonts w:ascii="Aptos" w:hAnsi="Aptos"/>
                <w:color w:val="122033"/>
                <w:sz w:val="19"/>
              </w:rPr>
              <w:t>Accessibility automation</w:t>
            </w:r>
          </w:p>
        </w:tc>
        <w:tc>
          <w:tcPr>
            <w:tcW w:type="dxa" w:w="5832"/>
            <w:vAlign w:val="top"/>
          </w:tcPr>
          <w:p>
            <w:pPr>
              <w:spacing w:after="20"/>
            </w:pPr>
            <w:r>
              <w:rPr>
                <w:rFonts w:ascii="Aptos" w:hAnsi="Aptos"/>
                <w:color w:val="122033"/>
                <w:sz w:val="19"/>
              </w:rPr>
              <w:t>Operational with manual critical checks.</w:t>
            </w:r>
          </w:p>
        </w:tc>
      </w:tr>
      <w:tr>
        <w:tc>
          <w:tcPr>
            <w:tcW w:type="dxa" w:w="3744"/>
            <w:vAlign w:val="top"/>
            <w:shd w:fill="F8FAFC"/>
          </w:tcPr>
          <w:p>
            <w:pPr>
              <w:spacing w:after="20"/>
            </w:pPr>
            <w:r>
              <w:rPr>
                <w:rFonts w:ascii="Aptos" w:hAnsi="Aptos"/>
                <w:color w:val="122033"/>
                <w:sz w:val="19"/>
              </w:rPr>
              <w:t>Visual regression</w:t>
            </w:r>
          </w:p>
        </w:tc>
        <w:tc>
          <w:tcPr>
            <w:tcW w:type="dxa" w:w="5832"/>
            <w:vAlign w:val="top"/>
            <w:shd w:fill="F8FAFC"/>
          </w:tcPr>
          <w:p>
            <w:pPr>
              <w:spacing w:after="20"/>
            </w:pPr>
            <w:r>
              <w:rPr>
                <w:rFonts w:ascii="Aptos" w:hAnsi="Aptos"/>
                <w:color w:val="122033"/>
                <w:sz w:val="19"/>
              </w:rPr>
              <w:t>Operational for accepted components.</w:t>
            </w:r>
          </w:p>
        </w:tc>
      </w:tr>
      <w:tr>
        <w:tc>
          <w:tcPr>
            <w:tcW w:type="dxa" w:w="3744"/>
            <w:vAlign w:val="top"/>
          </w:tcPr>
          <w:p>
            <w:pPr>
              <w:spacing w:after="20"/>
            </w:pPr>
            <w:r>
              <w:rPr>
                <w:rFonts w:ascii="Aptos" w:hAnsi="Aptos"/>
                <w:color w:val="122033"/>
                <w:sz w:val="19"/>
              </w:rPr>
              <w:t>ERPNext/Frappe production adapter</w:t>
            </w:r>
          </w:p>
        </w:tc>
        <w:tc>
          <w:tcPr>
            <w:tcW w:type="dxa" w:w="5832"/>
            <w:vAlign w:val="top"/>
          </w:tcPr>
          <w:p>
            <w:pPr>
              <w:spacing w:after="20"/>
            </w:pPr>
            <w:r>
              <w:rPr>
                <w:rFonts w:ascii="Aptos" w:hAnsi="Aptos"/>
                <w:color w:val="122033"/>
                <w:sz w:val="19"/>
              </w:rPr>
              <w:t>Not required until later integration milestone.</w:t>
            </w:r>
          </w:p>
        </w:tc>
      </w:tr>
      <w:tr>
        <w:tc>
          <w:tcPr>
            <w:tcW w:type="dxa" w:w="3744"/>
            <w:vAlign w:val="top"/>
            <w:shd w:fill="F8FAFC"/>
          </w:tcPr>
          <w:p>
            <w:pPr>
              <w:spacing w:after="20"/>
            </w:pPr>
            <w:r>
              <w:rPr>
                <w:rFonts w:ascii="Aptos" w:hAnsi="Aptos"/>
                <w:color w:val="122033"/>
                <w:sz w:val="19"/>
              </w:rPr>
              <w:t>Enterprise shell</w:t>
            </w:r>
          </w:p>
        </w:tc>
        <w:tc>
          <w:tcPr>
            <w:tcW w:type="dxa" w:w="5832"/>
            <w:vAlign w:val="top"/>
            <w:shd w:fill="F8FAFC"/>
          </w:tcPr>
          <w:p>
            <w:pPr>
              <w:spacing w:after="20"/>
            </w:pPr>
            <w:r>
              <w:rPr>
                <w:rFonts w:ascii="Aptos" w:hAnsi="Aptos"/>
                <w:color w:val="122033"/>
                <w:sz w:val="19"/>
              </w:rPr>
              <w:t>Not yet; begins in IB3.</w:t>
            </w:r>
          </w:p>
        </w:tc>
      </w:tr>
      <w:tr>
        <w:tc>
          <w:tcPr>
            <w:tcW w:type="dxa" w:w="3744"/>
            <w:vAlign w:val="top"/>
          </w:tcPr>
          <w:p>
            <w:pPr>
              <w:spacing w:after="20"/>
            </w:pPr>
            <w:r>
              <w:rPr>
                <w:rFonts w:ascii="Aptos" w:hAnsi="Aptos"/>
                <w:color w:val="122033"/>
                <w:sz w:val="19"/>
              </w:rPr>
              <w:t>Power BI-class dashboard workspace</w:t>
            </w:r>
          </w:p>
        </w:tc>
        <w:tc>
          <w:tcPr>
            <w:tcW w:type="dxa" w:w="5832"/>
            <w:vAlign w:val="top"/>
          </w:tcPr>
          <w:p>
            <w:pPr>
              <w:spacing w:after="20"/>
            </w:pPr>
            <w:r>
              <w:rPr>
                <w:rFonts w:ascii="Aptos" w:hAnsi="Aptos"/>
                <w:color w:val="122033"/>
                <w:sz w:val="19"/>
              </w:rPr>
              <w:t>Not yet; later analytics milestone.</w:t>
            </w:r>
          </w:p>
        </w:tc>
      </w:tr>
      <w:tr>
        <w:tc>
          <w:tcPr>
            <w:tcW w:type="dxa" w:w="3744"/>
            <w:vAlign w:val="top"/>
            <w:shd w:fill="F8FAFC"/>
          </w:tcPr>
          <w:p>
            <w:pPr>
              <w:spacing w:after="20"/>
            </w:pPr>
            <w:r>
              <w:rPr>
                <w:rFonts w:ascii="Aptos" w:hAnsi="Aptos"/>
                <w:color w:val="122033"/>
                <w:sz w:val="19"/>
              </w:rPr>
              <w:t>Offline command queue</w:t>
            </w:r>
          </w:p>
        </w:tc>
        <w:tc>
          <w:tcPr>
            <w:tcW w:type="dxa" w:w="5832"/>
            <w:vAlign w:val="top"/>
            <w:shd w:fill="F8FAFC"/>
          </w:tcPr>
          <w:p>
            <w:pPr>
              <w:spacing w:after="20"/>
            </w:pPr>
            <w:r>
              <w:rPr>
                <w:rFonts w:ascii="Aptos" w:hAnsi="Aptos"/>
                <w:color w:val="122033"/>
                <w:sz w:val="19"/>
              </w:rPr>
              <w:t>Not yet; later offline milestone.</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10166"/>
            <w:shd w:fill="EDF7F1"/>
            <w:tcBorders>
              <w:top w:val="single" w:sz="12" w:color="2F6B52"/>
              <w:left w:val="single" w:sz="12" w:color="2F6B52"/>
              <w:bottom w:val="single" w:sz="8" w:color="2F6B52"/>
              <w:right w:val="single" w:sz="8" w:color="2F6B52"/>
            </w:tcBorders>
          </w:tcPr>
          <w:p>
            <w:pPr>
              <w:spacing w:before="80" w:after="80"/>
            </w:pPr>
            <w:r>
              <w:rPr>
                <w:rFonts w:ascii="Aptos" w:hAnsi="Aptos"/>
                <w:b/>
                <w:color w:val="2F6B52"/>
                <w:sz w:val="21"/>
              </w:rPr>
              <w:t>PRACTICAL CHECKPOINT</w:t>
              <w:br/>
            </w:r>
            <w:r>
              <w:rPr>
                <w:rFonts w:ascii="Aptos" w:hAnsi="Aptos"/>
                <w:color w:val="122033"/>
                <w:sz w:val="23"/>
              </w:rPr>
              <w:t>A developer receiving the repository after IB2 should be able to run a clean install, build the workspace, launch the UI lab, inspect tokens/components, compile product-neutral contracts, validate runtime configuration and deliberately violate a package boundary to observe CI reject it.</w:t>
            </w:r>
          </w:p>
        </w:tc>
      </w:tr>
    </w:tbl>
    <w:p>
      <w:pPr>
        <w:spacing w:after="0"/>
      </w:pPr>
    </w:p>
    <w:p>
      <w:pPr>
        <w:pStyle w:val="Heading1"/>
      </w:pPr>
      <w:r>
        <w:t>9. Handover to IB3</w:t>
      </w:r>
    </w:p>
    <w:p>
      <w:r>
        <w:rPr>
          <w:rFonts w:ascii="Aptos" w:hAnsi="Aptos"/>
          <w:sz w:val="24"/>
        </w:rPr>
        <w:t>IB3 begins only after the IB0–IB2 kernel is accepted. Its purpose is to compose the first real PAEP enterprise experience from the approved foundations rather than inventing a parallel application structure.</w:t>
      </w:r>
    </w:p>
    <w:p>
      <w:pPr>
        <w:pStyle w:val="BodyText"/>
        <w:spacing w:before="0" w:after="80"/>
      </w:pPr>
      <w:r>
        <w:rPr>
          <w:rFonts w:ascii="Aptos" w:hAnsi="Aptos"/>
          <w:b/>
          <w:sz w:val="24"/>
        </w:rPr>
        <w:t xml:space="preserve">(i) </w:t>
      </w:r>
      <w:r>
        <w:rPr>
          <w:rFonts w:ascii="Aptos" w:hAnsi="Aptos"/>
          <w:sz w:val="24"/>
        </w:rPr>
        <w:t>Create the runtime bootstrap in the reference application using the validated immutable RuntimeConfigStore.</w:t>
      </w:r>
    </w:p>
    <w:p>
      <w:pPr>
        <w:pStyle w:val="BodyText"/>
        <w:spacing w:before="0" w:after="80"/>
      </w:pPr>
      <w:r>
        <w:rPr>
          <w:rFonts w:ascii="Aptos" w:hAnsi="Aptos"/>
          <w:b/>
          <w:sz w:val="24"/>
        </w:rPr>
        <w:t xml:space="preserve">(ii) </w:t>
      </w:r>
      <w:r>
        <w:rPr>
          <w:rFonts w:ascii="Aptos" w:hAnsi="Aptos"/>
          <w:sz w:val="24"/>
        </w:rPr>
        <w:t>Compose the enterprise shell from approved IB2 primitives: topbar, navigation, tenant/product context, workspace frame, error boundary and offline/status indicators.</w:t>
      </w:r>
    </w:p>
    <w:p>
      <w:pPr>
        <w:pStyle w:val="BodyText"/>
        <w:spacing w:before="0" w:after="80"/>
      </w:pPr>
      <w:r>
        <w:rPr>
          <w:rFonts w:ascii="Aptos" w:hAnsi="Aptos"/>
          <w:b/>
          <w:sz w:val="24"/>
        </w:rPr>
        <w:t xml:space="preserve">(iii) </w:t>
      </w:r>
      <w:r>
        <w:rPr>
          <w:rFonts w:ascii="Aptos" w:hAnsi="Aptos"/>
          <w:sz w:val="24"/>
        </w:rPr>
        <w:t>Wire i18n, observability, identity/adapter provider boundaries and route composition without bypassing PAEP contracts.</w:t>
      </w:r>
    </w:p>
    <w:p>
      <w:pPr>
        <w:pStyle w:val="BodyText"/>
        <w:spacing w:before="0" w:after="80"/>
      </w:pPr>
      <w:r>
        <w:rPr>
          <w:rFonts w:ascii="Aptos" w:hAnsi="Aptos"/>
          <w:b/>
          <w:sz w:val="24"/>
        </w:rPr>
        <w:t xml:space="preserve">(iv) </w:t>
      </w:r>
      <w:r>
        <w:rPr>
          <w:rFonts w:ascii="Aptos" w:hAnsi="Aptos"/>
          <w:sz w:val="24"/>
        </w:rPr>
        <w:t>Implement public/protected route composition and the first golden workflow scaffold using mocks or approved backend adapters as the integration milestone permits.</w:t>
      </w:r>
    </w:p>
    <w:p>
      <w:pPr>
        <w:pStyle w:val="BodyText"/>
        <w:spacing w:before="0" w:after="80"/>
      </w:pPr>
      <w:r>
        <w:rPr>
          <w:rFonts w:ascii="Aptos" w:hAnsi="Aptos"/>
          <w:b/>
          <w:sz w:val="24"/>
        </w:rPr>
        <w:t xml:space="preserve">(v) </w:t>
      </w:r>
      <w:r>
        <w:rPr>
          <w:rFonts w:ascii="Aptos" w:hAnsi="Aptos"/>
          <w:sz w:val="24"/>
        </w:rPr>
        <w:t>Preserve responsive, accessibility, configuration, security and package-boundary evidence as shell capabilities are assembled.</w:t>
      </w:r>
    </w:p>
    <w:tbl>
      <w:tblPr>
        <w:tblW w:type="auto" w:w="0"/>
        <w:jc w:val="center"/>
        <w:tblLayout w:type="fixed"/>
        <w:tblLook w:firstColumn="1" w:firstRow="1" w:lastColumn="0" w:lastRow="0" w:noHBand="0" w:noVBand="1" w:val="04A0"/>
      </w:tblPr>
      <w:tblGrid>
        <w:gridCol w:w="9576"/>
      </w:tblGrid>
      <w:tr>
        <w:tc>
          <w:tcPr>
            <w:tcW w:type="dxa" w:w="10166"/>
            <w:shd w:fill="EEF3F8"/>
            <w:tcBorders>
              <w:top w:val="single" w:sz="12" w:color="0E2E53"/>
              <w:left w:val="single" w:sz="12" w:color="0E2E53"/>
              <w:bottom w:val="single" w:sz="8" w:color="0E2E53"/>
              <w:right w:val="single" w:sz="8" w:color="0E2E53"/>
            </w:tcBorders>
          </w:tcPr>
          <w:p>
            <w:pPr>
              <w:spacing w:before="80" w:after="80"/>
            </w:pPr>
            <w:r>
              <w:rPr>
                <w:rFonts w:ascii="Aptos" w:hAnsi="Aptos"/>
                <w:b/>
                <w:color w:val="0E2E53"/>
                <w:sz w:val="21"/>
              </w:rPr>
              <w:t>NEXT CONTROLLED MILESTONE</w:t>
              <w:br/>
            </w:r>
            <w:r>
              <w:rPr>
                <w:rFonts w:ascii="Aptos" w:hAnsi="Aptos"/>
                <w:color w:val="122033"/>
                <w:sz w:val="23"/>
              </w:rPr>
              <w:t>IB3 should not redesign IB0–IB2 foundations. Where a genuine shell requirement exposes a missing foundation capability, the foundation/component package should be extended through its governed public API rather than patched locally inside the reference application.</w:t>
            </w:r>
          </w:p>
        </w:tc>
      </w:tr>
    </w:tbl>
    <w:p>
      <w:pPr>
        <w:spacing w:after="0"/>
      </w:pPr>
    </w:p>
    <w:p>
      <w:pPr>
        <w:pStyle w:val="Heading1"/>
      </w:pPr>
      <w:r>
        <w:t>Appendix A. Developer Verification Commands</w:t>
      </w:r>
    </w:p>
    <w:p>
      <w:r>
        <w:rPr>
          <w:rFonts w:ascii="Aptos" w:hAnsi="Aptos"/>
          <w:sz w:val="24"/>
        </w:rPr>
        <w:t>The exact package scripts are established in the repository baseline. The following command names express the minimum verification intent expected from the workspace; teams may map them to the approved orchestration tool without changing the acceptance outcome.</w:t>
      </w:r>
    </w:p>
    <w:p>
      <w:pPr>
        <w:spacing w:before="120" w:after="60"/>
      </w:pPr>
      <w:r>
        <w:rPr>
          <w:rFonts w:ascii="Aptos" w:hAnsi="Aptos"/>
          <w:b/>
          <w:color w:val="0E2E53"/>
          <w:sz w:val="20"/>
        </w:rPr>
        <w:t>Code Block A1. Expected clean-build and verification command surface.</w:t>
      </w:r>
    </w:p>
    <w:tbl>
      <w:tblPr>
        <w:tblW w:type="auto" w:w="0"/>
        <w:jc w:val="center"/>
        <w:tblLayout w:type="fixed"/>
        <w:tblLook w:firstColumn="1" w:firstRow="1" w:lastColumn="0" w:lastRow="0" w:noHBand="0" w:noVBand="1" w:val="04A0"/>
      </w:tblPr>
      <w:tblGrid>
        <w:gridCol w:w="9576"/>
      </w:tblGrid>
      <w:tr>
        <w:tc>
          <w:tcPr>
            <w:tcW w:type="dxa" w:w="10166"/>
            <w:shd w:fill="F5F7FA"/>
            <w:tcBorders>
              <w:top w:val="single" w:sz="8" w:color="CBD5E1"/>
              <w:left w:val="single" w:sz="8" w:color="CBD5E1"/>
              <w:bottom w:val="single" w:sz="8" w:color="CBD5E1"/>
              <w:right w:val="single" w:sz="8" w:color="CBD5E1"/>
            </w:tcBorders>
            <w:vAlign w:val="center"/>
          </w:tcPr>
          <w:p>
            <w:pPr>
              <w:spacing w:before="100" w:after="100"/>
            </w:pPr>
            <w:r>
              <w:rPr>
                <w:rFonts w:ascii="Consolas" w:hAnsi="Consolas"/>
                <w:color w:val="263238"/>
                <w:sz w:val="18"/>
              </w:rPr>
              <w:t>npm ci</w:t>
            </w:r>
            <w:r>
              <w:br/>
            </w:r>
            <w:r>
              <w:rPr>
                <w:rFonts w:ascii="Consolas" w:hAnsi="Consolas"/>
                <w:color w:val="263238"/>
                <w:sz w:val="18"/>
              </w:rPr>
              <w:t>npm run lint</w:t>
            </w:r>
            <w:r>
              <w:br/>
            </w:r>
            <w:r>
              <w:rPr>
                <w:rFonts w:ascii="Consolas" w:hAnsi="Consolas"/>
                <w:color w:val="263238"/>
                <w:sz w:val="18"/>
              </w:rPr>
              <w:t>npm run typecheck</w:t>
            </w:r>
            <w:r>
              <w:br/>
            </w:r>
            <w:r>
              <w:rPr>
                <w:rFonts w:ascii="Consolas" w:hAnsi="Consolas"/>
                <w:color w:val="263238"/>
                <w:sz w:val="18"/>
              </w:rPr>
              <w:t>npm run test</w:t>
            </w:r>
            <w:r>
              <w:br/>
            </w:r>
            <w:r>
              <w:rPr>
                <w:rFonts w:ascii="Consolas" w:hAnsi="Consolas"/>
                <w:color w:val="263238"/>
                <w:sz w:val="18"/>
              </w:rPr>
              <w:t>npm run build</w:t>
            </w:r>
            <w:r>
              <w:br/>
            </w:r>
            <w:r>
              <w:rPr>
                <w:rFonts w:ascii="Consolas" w:hAnsi="Consolas"/>
                <w:color w:val="263238"/>
                <w:sz w:val="18"/>
              </w:rPr>
              <w:t>npm run test:boundaries</w:t>
            </w:r>
            <w:r>
              <w:br/>
            </w:r>
            <w:r>
              <w:rPr>
                <w:rFonts w:ascii="Consolas" w:hAnsi="Consolas"/>
                <w:color w:val="263238"/>
                <w:sz w:val="18"/>
              </w:rPr>
              <w:t>npm run test:a11y</w:t>
            </w:r>
            <w:r>
              <w:br/>
            </w:r>
            <w:r>
              <w:rPr>
                <w:rFonts w:ascii="Consolas" w:hAnsi="Consolas"/>
                <w:color w:val="263238"/>
                <w:sz w:val="18"/>
              </w:rPr>
              <w:t>npm run test:visual</w:t>
            </w:r>
          </w:p>
        </w:tc>
      </w:tr>
    </w:tbl>
    <w:p>
      <w:pPr>
        <w:spacing w:after="0"/>
      </w:pPr>
    </w:p>
    <w:p>
      <w:pPr>
        <w:pStyle w:val="BodyText"/>
        <w:spacing w:before="0" w:after="80"/>
      </w:pPr>
      <w:r>
        <w:rPr>
          <w:rFonts w:ascii="Aptos" w:hAnsi="Aptos"/>
          <w:b/>
          <w:sz w:val="24"/>
        </w:rPr>
        <w:t xml:space="preserve">(i) </w:t>
      </w:r>
      <w:r>
        <w:rPr>
          <w:rFonts w:ascii="Aptos" w:hAnsi="Aptos"/>
          <w:sz w:val="24"/>
        </w:rPr>
        <w:t>`npm ci` or the approved equivalent shall install from the committed lockfile without manual local fixes.</w:t>
      </w:r>
    </w:p>
    <w:p>
      <w:pPr>
        <w:pStyle w:val="BodyText"/>
        <w:spacing w:before="0" w:after="80"/>
      </w:pPr>
      <w:r>
        <w:rPr>
          <w:rFonts w:ascii="Aptos" w:hAnsi="Aptos"/>
          <w:b/>
          <w:sz w:val="24"/>
        </w:rPr>
        <w:t xml:space="preserve">(ii) </w:t>
      </w:r>
      <w:r>
        <w:rPr>
          <w:rFonts w:ascii="Aptos" w:hAnsi="Aptos"/>
          <w:sz w:val="24"/>
        </w:rPr>
        <w:t>Boundary verification shall include at least one negative test proving that a prohibited dependency is rejected.</w:t>
      </w:r>
    </w:p>
    <w:p>
      <w:pPr>
        <w:pStyle w:val="BodyText"/>
        <w:spacing w:before="0" w:after="80"/>
      </w:pPr>
      <w:r>
        <w:rPr>
          <w:rFonts w:ascii="Aptos" w:hAnsi="Aptos"/>
          <w:b/>
          <w:sz w:val="24"/>
        </w:rPr>
        <w:t xml:space="preserve">(iii) </w:t>
      </w:r>
      <w:r>
        <w:rPr>
          <w:rFonts w:ascii="Aptos" w:hAnsi="Aptos"/>
          <w:sz w:val="24"/>
        </w:rPr>
        <w:t>Accessibility and visual-regression commands may initially target only the UI laboratory/component scope implemented by IB2.</w:t>
      </w:r>
    </w:p>
    <w:p>
      <w:pPr>
        <w:pStyle w:val="BodyText"/>
        <w:spacing w:before="0" w:after="80"/>
      </w:pPr>
      <w:r>
        <w:rPr>
          <w:rFonts w:ascii="Aptos" w:hAnsi="Aptos"/>
          <w:b/>
          <w:sz w:val="24"/>
        </w:rPr>
        <w:t xml:space="preserve">(iv) </w:t>
      </w:r>
      <w:r>
        <w:rPr>
          <w:rFonts w:ascii="Aptos" w:hAnsi="Aptos"/>
          <w:sz w:val="24"/>
        </w:rPr>
        <w:t>Build/test script names may change through tooling governance, but the evidence obligations in this roadmap remain unchanged.</w:t>
      </w:r>
    </w:p>
    <w:p>
      <w:pPr>
        <w:pStyle w:val="Heading1"/>
      </w:pPr>
      <w:r>
        <w:t>Appendix B. Milestone Evidence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0E2E53"/>
            <w:vAlign w:val="center"/>
          </w:tcPr>
          <w:p>
            <w:pPr>
              <w:jc w:val="left"/>
            </w:pPr>
            <w:r>
              <w:rPr>
                <w:rFonts w:ascii="Aptos" w:hAnsi="Aptos"/>
                <w:b/>
                <w:color w:val="FFFFFF"/>
                <w:sz w:val="19"/>
              </w:rPr>
              <w:t>Milestone</w:t>
            </w:r>
          </w:p>
        </w:tc>
        <w:tc>
          <w:tcPr>
            <w:tcW w:type="dxa" w:w="2448"/>
            <w:shd w:fill="0E2E53"/>
            <w:vAlign w:val="center"/>
          </w:tcPr>
          <w:p>
            <w:pPr>
              <w:jc w:val="left"/>
            </w:pPr>
            <w:r>
              <w:rPr>
                <w:rFonts w:ascii="Aptos" w:hAnsi="Aptos"/>
                <w:b/>
                <w:color w:val="FFFFFF"/>
                <w:sz w:val="19"/>
              </w:rPr>
              <w:t>Evidence category</w:t>
            </w:r>
          </w:p>
        </w:tc>
        <w:tc>
          <w:tcPr>
            <w:tcW w:type="dxa" w:w="5688"/>
            <w:shd w:fill="0E2E53"/>
            <w:vAlign w:val="center"/>
          </w:tcPr>
          <w:p>
            <w:pPr>
              <w:jc w:val="left"/>
            </w:pPr>
            <w:r>
              <w:rPr>
                <w:rFonts w:ascii="Aptos" w:hAnsi="Aptos"/>
                <w:b/>
                <w:color w:val="FFFFFF"/>
                <w:sz w:val="19"/>
              </w:rPr>
              <w:t>Minimum retained artefact</w:t>
            </w:r>
          </w:p>
        </w:tc>
      </w:tr>
      <w:tr>
        <w:tc>
          <w:tcPr>
            <w:tcW w:type="dxa" w:w="1440"/>
            <w:vAlign w:val="top"/>
          </w:tcPr>
          <w:p>
            <w:pPr>
              <w:spacing w:after="20"/>
            </w:pPr>
            <w:r>
              <w:rPr>
                <w:rFonts w:ascii="Aptos" w:hAnsi="Aptos"/>
                <w:color w:val="122033"/>
                <w:sz w:val="19"/>
              </w:rPr>
              <w:t>IB0</w:t>
            </w:r>
          </w:p>
        </w:tc>
        <w:tc>
          <w:tcPr>
            <w:tcW w:type="dxa" w:w="2448"/>
            <w:vAlign w:val="top"/>
          </w:tcPr>
          <w:p>
            <w:pPr>
              <w:spacing w:after="20"/>
            </w:pPr>
            <w:r>
              <w:rPr>
                <w:rFonts w:ascii="Aptos" w:hAnsi="Aptos"/>
                <w:color w:val="122033"/>
                <w:sz w:val="19"/>
              </w:rPr>
              <w:t>Workspace</w:t>
            </w:r>
          </w:p>
        </w:tc>
        <w:tc>
          <w:tcPr>
            <w:tcW w:type="dxa" w:w="5688"/>
            <w:vAlign w:val="top"/>
          </w:tcPr>
          <w:p>
            <w:pPr>
              <w:spacing w:after="20"/>
            </w:pPr>
            <w:r>
              <w:rPr>
                <w:rFonts w:ascii="Aptos" w:hAnsi="Aptos"/>
                <w:color w:val="122033"/>
                <w:sz w:val="19"/>
              </w:rPr>
              <w:t>Repository structure and controlled project/package manifest.</w:t>
            </w:r>
          </w:p>
        </w:tc>
      </w:tr>
      <w:tr>
        <w:tc>
          <w:tcPr>
            <w:tcW w:type="dxa" w:w="1440"/>
            <w:vAlign w:val="top"/>
            <w:shd w:fill="F8FAFC"/>
          </w:tcPr>
          <w:p>
            <w:pPr>
              <w:spacing w:after="20"/>
            </w:pPr>
            <w:r>
              <w:rPr>
                <w:rFonts w:ascii="Aptos" w:hAnsi="Aptos"/>
                <w:color w:val="122033"/>
                <w:sz w:val="19"/>
              </w:rPr>
              <w:t>IB0</w:t>
            </w:r>
          </w:p>
        </w:tc>
        <w:tc>
          <w:tcPr>
            <w:tcW w:type="dxa" w:w="2448"/>
            <w:vAlign w:val="top"/>
            <w:shd w:fill="F8FAFC"/>
          </w:tcPr>
          <w:p>
            <w:pPr>
              <w:spacing w:after="20"/>
            </w:pPr>
            <w:r>
              <w:rPr>
                <w:rFonts w:ascii="Aptos" w:hAnsi="Aptos"/>
                <w:color w:val="122033"/>
                <w:sz w:val="19"/>
              </w:rPr>
              <w:t>Architecture</w:t>
            </w:r>
          </w:p>
        </w:tc>
        <w:tc>
          <w:tcPr>
            <w:tcW w:type="dxa" w:w="5688"/>
            <w:vAlign w:val="top"/>
            <w:shd w:fill="F8FAFC"/>
          </w:tcPr>
          <w:p>
            <w:pPr>
              <w:spacing w:after="20"/>
            </w:pPr>
            <w:r>
              <w:rPr>
                <w:rFonts w:ascii="Aptos" w:hAnsi="Aptos"/>
                <w:color w:val="122033"/>
                <w:sz w:val="19"/>
              </w:rPr>
              <w:t>Boundary rules, negative violation test and circular-dependency result.</w:t>
            </w:r>
          </w:p>
        </w:tc>
      </w:tr>
      <w:tr>
        <w:tc>
          <w:tcPr>
            <w:tcW w:type="dxa" w:w="1440"/>
            <w:vAlign w:val="top"/>
          </w:tcPr>
          <w:p>
            <w:pPr>
              <w:spacing w:after="20"/>
            </w:pPr>
            <w:r>
              <w:rPr>
                <w:rFonts w:ascii="Aptos" w:hAnsi="Aptos"/>
                <w:color w:val="122033"/>
                <w:sz w:val="19"/>
              </w:rPr>
              <w:t>IB0</w:t>
            </w:r>
          </w:p>
        </w:tc>
        <w:tc>
          <w:tcPr>
            <w:tcW w:type="dxa" w:w="2448"/>
            <w:vAlign w:val="top"/>
          </w:tcPr>
          <w:p>
            <w:pPr>
              <w:spacing w:after="20"/>
            </w:pPr>
            <w:r>
              <w:rPr>
                <w:rFonts w:ascii="Aptos" w:hAnsi="Aptos"/>
                <w:color w:val="122033"/>
                <w:sz w:val="19"/>
              </w:rPr>
              <w:t>Build</w:t>
            </w:r>
          </w:p>
        </w:tc>
        <w:tc>
          <w:tcPr>
            <w:tcW w:type="dxa" w:w="5688"/>
            <w:vAlign w:val="top"/>
          </w:tcPr>
          <w:p>
            <w:pPr>
              <w:spacing w:after="20"/>
            </w:pPr>
            <w:r>
              <w:rPr>
                <w:rFonts w:ascii="Aptos" w:hAnsi="Aptos"/>
                <w:color w:val="122033"/>
                <w:sz w:val="19"/>
              </w:rPr>
              <w:t>Clean install, type-check, test and build logs.</w:t>
            </w:r>
          </w:p>
        </w:tc>
      </w:tr>
      <w:tr>
        <w:tc>
          <w:tcPr>
            <w:tcW w:type="dxa" w:w="1440"/>
            <w:vAlign w:val="top"/>
            <w:shd w:fill="F8FAFC"/>
          </w:tcPr>
          <w:p>
            <w:pPr>
              <w:spacing w:after="20"/>
            </w:pPr>
            <w:r>
              <w:rPr>
                <w:rFonts w:ascii="Aptos" w:hAnsi="Aptos"/>
                <w:color w:val="122033"/>
                <w:sz w:val="19"/>
              </w:rPr>
              <w:t>IB1</w:t>
            </w:r>
          </w:p>
        </w:tc>
        <w:tc>
          <w:tcPr>
            <w:tcW w:type="dxa" w:w="2448"/>
            <w:vAlign w:val="top"/>
            <w:shd w:fill="F8FAFC"/>
          </w:tcPr>
          <w:p>
            <w:pPr>
              <w:spacing w:after="20"/>
            </w:pPr>
            <w:r>
              <w:rPr>
                <w:rFonts w:ascii="Aptos" w:hAnsi="Aptos"/>
                <w:color w:val="122033"/>
                <w:sz w:val="19"/>
              </w:rPr>
              <w:t>Contracts</w:t>
            </w:r>
          </w:p>
        </w:tc>
        <w:tc>
          <w:tcPr>
            <w:tcW w:type="dxa" w:w="5688"/>
            <w:vAlign w:val="top"/>
            <w:shd w:fill="F8FAFC"/>
          </w:tcPr>
          <w:p>
            <w:pPr>
              <w:spacing w:after="20"/>
            </w:pPr>
            <w:r>
              <w:rPr>
                <w:rFonts w:ascii="Aptos" w:hAnsi="Aptos"/>
                <w:color w:val="122033"/>
                <w:sz w:val="19"/>
              </w:rPr>
              <w:t>Public API review, independent compile and dependency audit.</w:t>
            </w:r>
          </w:p>
        </w:tc>
      </w:tr>
      <w:tr>
        <w:tc>
          <w:tcPr>
            <w:tcW w:type="dxa" w:w="1440"/>
            <w:vAlign w:val="top"/>
          </w:tcPr>
          <w:p>
            <w:pPr>
              <w:spacing w:after="20"/>
            </w:pPr>
            <w:r>
              <w:rPr>
                <w:rFonts w:ascii="Aptos" w:hAnsi="Aptos"/>
                <w:color w:val="122033"/>
                <w:sz w:val="19"/>
              </w:rPr>
              <w:t>IB1</w:t>
            </w:r>
          </w:p>
        </w:tc>
        <w:tc>
          <w:tcPr>
            <w:tcW w:type="dxa" w:w="2448"/>
            <w:vAlign w:val="top"/>
          </w:tcPr>
          <w:p>
            <w:pPr>
              <w:spacing w:after="20"/>
            </w:pPr>
            <w:r>
              <w:rPr>
                <w:rFonts w:ascii="Aptos" w:hAnsi="Aptos"/>
                <w:color w:val="122033"/>
                <w:sz w:val="19"/>
              </w:rPr>
              <w:t>Configuration</w:t>
            </w:r>
          </w:p>
        </w:tc>
        <w:tc>
          <w:tcPr>
            <w:tcW w:type="dxa" w:w="5688"/>
            <w:vAlign w:val="top"/>
          </w:tcPr>
          <w:p>
            <w:pPr>
              <w:spacing w:after="20"/>
            </w:pPr>
            <w:r>
              <w:rPr>
                <w:rFonts w:ascii="Aptos" w:hAnsi="Aptos"/>
                <w:color w:val="122033"/>
                <w:sz w:val="19"/>
              </w:rPr>
              <w:t>Schema, valid/invalid fixtures, fail-safe startup tests and compatibility checks.</w:t>
            </w:r>
          </w:p>
        </w:tc>
      </w:tr>
      <w:tr>
        <w:tc>
          <w:tcPr>
            <w:tcW w:type="dxa" w:w="1440"/>
            <w:vAlign w:val="top"/>
            <w:shd w:fill="F8FAFC"/>
          </w:tcPr>
          <w:p>
            <w:pPr>
              <w:spacing w:after="20"/>
            </w:pPr>
            <w:r>
              <w:rPr>
                <w:rFonts w:ascii="Aptos" w:hAnsi="Aptos"/>
                <w:color w:val="122033"/>
                <w:sz w:val="19"/>
              </w:rPr>
              <w:t>IB1</w:t>
            </w:r>
          </w:p>
        </w:tc>
        <w:tc>
          <w:tcPr>
            <w:tcW w:type="dxa" w:w="2448"/>
            <w:vAlign w:val="top"/>
            <w:shd w:fill="F8FAFC"/>
          </w:tcPr>
          <w:p>
            <w:pPr>
              <w:spacing w:after="20"/>
            </w:pPr>
            <w:r>
              <w:rPr>
                <w:rFonts w:ascii="Aptos" w:hAnsi="Aptos"/>
                <w:color w:val="122033"/>
                <w:sz w:val="19"/>
              </w:rPr>
              <w:t>Reporting</w:t>
            </w:r>
          </w:p>
        </w:tc>
        <w:tc>
          <w:tcPr>
            <w:tcW w:type="dxa" w:w="5688"/>
            <w:vAlign w:val="top"/>
            <w:shd w:fill="F8FAFC"/>
          </w:tcPr>
          <w:p>
            <w:pPr>
              <w:spacing w:after="20"/>
            </w:pPr>
            <w:r>
              <w:rPr>
                <w:rFonts w:ascii="Aptos" w:hAnsi="Aptos"/>
                <w:color w:val="122033"/>
                <w:sz w:val="19"/>
              </w:rPr>
              <w:t>Initial reporting interfaces and contract tests.</w:t>
            </w:r>
          </w:p>
        </w:tc>
      </w:tr>
      <w:tr>
        <w:tc>
          <w:tcPr>
            <w:tcW w:type="dxa" w:w="1440"/>
            <w:vAlign w:val="top"/>
          </w:tcPr>
          <w:p>
            <w:pPr>
              <w:spacing w:after="20"/>
            </w:pPr>
            <w:r>
              <w:rPr>
                <w:rFonts w:ascii="Aptos" w:hAnsi="Aptos"/>
                <w:color w:val="122033"/>
                <w:sz w:val="19"/>
              </w:rPr>
              <w:t>IB2</w:t>
            </w:r>
          </w:p>
        </w:tc>
        <w:tc>
          <w:tcPr>
            <w:tcW w:type="dxa" w:w="2448"/>
            <w:vAlign w:val="top"/>
          </w:tcPr>
          <w:p>
            <w:pPr>
              <w:spacing w:after="20"/>
            </w:pPr>
            <w:r>
              <w:rPr>
                <w:rFonts w:ascii="Aptos" w:hAnsi="Aptos"/>
                <w:color w:val="122033"/>
                <w:sz w:val="19"/>
              </w:rPr>
              <w:t>Foundation</w:t>
            </w:r>
          </w:p>
        </w:tc>
        <w:tc>
          <w:tcPr>
            <w:tcW w:type="dxa" w:w="5688"/>
            <w:vAlign w:val="top"/>
          </w:tcPr>
          <w:p>
            <w:pPr>
              <w:spacing w:after="20"/>
            </w:pPr>
            <w:r>
              <w:rPr>
                <w:rFonts w:ascii="Aptos" w:hAnsi="Aptos"/>
                <w:color w:val="122033"/>
                <w:sz w:val="19"/>
              </w:rPr>
              <w:t>Token catalogue, responsive rules and theme regression evidence.</w:t>
            </w:r>
          </w:p>
        </w:tc>
      </w:tr>
      <w:tr>
        <w:tc>
          <w:tcPr>
            <w:tcW w:type="dxa" w:w="1440"/>
            <w:vAlign w:val="top"/>
            <w:shd w:fill="F8FAFC"/>
          </w:tcPr>
          <w:p>
            <w:pPr>
              <w:spacing w:after="20"/>
            </w:pPr>
            <w:r>
              <w:rPr>
                <w:rFonts w:ascii="Aptos" w:hAnsi="Aptos"/>
                <w:color w:val="122033"/>
                <w:sz w:val="19"/>
              </w:rPr>
              <w:t>IB2</w:t>
            </w:r>
          </w:p>
        </w:tc>
        <w:tc>
          <w:tcPr>
            <w:tcW w:type="dxa" w:w="2448"/>
            <w:vAlign w:val="top"/>
            <w:shd w:fill="F8FAFC"/>
          </w:tcPr>
          <w:p>
            <w:pPr>
              <w:spacing w:after="20"/>
            </w:pPr>
            <w:r>
              <w:rPr>
                <w:rFonts w:ascii="Aptos" w:hAnsi="Aptos"/>
                <w:color w:val="122033"/>
                <w:sz w:val="19"/>
              </w:rPr>
              <w:t>Components</w:t>
            </w:r>
          </w:p>
        </w:tc>
        <w:tc>
          <w:tcPr>
            <w:tcW w:type="dxa" w:w="5688"/>
            <w:vAlign w:val="top"/>
            <w:shd w:fill="F8FAFC"/>
          </w:tcPr>
          <w:p>
            <w:pPr>
              <w:spacing w:after="20"/>
            </w:pPr>
            <w:r>
              <w:rPr>
                <w:rFonts w:ascii="Aptos" w:hAnsi="Aptos"/>
                <w:color w:val="122033"/>
                <w:sz w:val="19"/>
              </w:rPr>
              <w:t>Component tests, state specimens and public API documentation.</w:t>
            </w:r>
          </w:p>
        </w:tc>
      </w:tr>
      <w:tr>
        <w:tc>
          <w:tcPr>
            <w:tcW w:type="dxa" w:w="1440"/>
            <w:vAlign w:val="top"/>
          </w:tcPr>
          <w:p>
            <w:pPr>
              <w:spacing w:after="20"/>
            </w:pPr>
            <w:r>
              <w:rPr>
                <w:rFonts w:ascii="Aptos" w:hAnsi="Aptos"/>
                <w:color w:val="122033"/>
                <w:sz w:val="19"/>
              </w:rPr>
              <w:t>IB2</w:t>
            </w:r>
          </w:p>
        </w:tc>
        <w:tc>
          <w:tcPr>
            <w:tcW w:type="dxa" w:w="2448"/>
            <w:vAlign w:val="top"/>
          </w:tcPr>
          <w:p>
            <w:pPr>
              <w:spacing w:after="20"/>
            </w:pPr>
            <w:r>
              <w:rPr>
                <w:rFonts w:ascii="Aptos" w:hAnsi="Aptos"/>
                <w:color w:val="122033"/>
                <w:sz w:val="19"/>
              </w:rPr>
              <w:t>Accessibility</w:t>
            </w:r>
          </w:p>
        </w:tc>
        <w:tc>
          <w:tcPr>
            <w:tcW w:type="dxa" w:w="5688"/>
            <w:vAlign w:val="top"/>
          </w:tcPr>
          <w:p>
            <w:pPr>
              <w:spacing w:after="20"/>
            </w:pPr>
            <w:r>
              <w:rPr>
                <w:rFonts w:ascii="Aptos" w:hAnsi="Aptos"/>
                <w:color w:val="122033"/>
                <w:sz w:val="19"/>
              </w:rPr>
              <w:t>Automated results plus retained keyboard/focus/manual evidence for critical components.</w:t>
            </w:r>
          </w:p>
        </w:tc>
      </w:tr>
      <w:tr>
        <w:tc>
          <w:tcPr>
            <w:tcW w:type="dxa" w:w="1440"/>
            <w:vAlign w:val="top"/>
            <w:shd w:fill="F8FAFC"/>
          </w:tcPr>
          <w:p>
            <w:pPr>
              <w:spacing w:after="20"/>
            </w:pPr>
            <w:r>
              <w:rPr>
                <w:rFonts w:ascii="Aptos" w:hAnsi="Aptos"/>
                <w:color w:val="122033"/>
                <w:sz w:val="19"/>
              </w:rPr>
              <w:t>IB2</w:t>
            </w:r>
          </w:p>
        </w:tc>
        <w:tc>
          <w:tcPr>
            <w:tcW w:type="dxa" w:w="2448"/>
            <w:vAlign w:val="top"/>
            <w:shd w:fill="F8FAFC"/>
          </w:tcPr>
          <w:p>
            <w:pPr>
              <w:spacing w:after="20"/>
            </w:pPr>
            <w:r>
              <w:rPr>
                <w:rFonts w:ascii="Aptos" w:hAnsi="Aptos"/>
                <w:color w:val="122033"/>
                <w:sz w:val="19"/>
              </w:rPr>
              <w:t>Visual</w:t>
            </w:r>
          </w:p>
        </w:tc>
        <w:tc>
          <w:tcPr>
            <w:tcW w:type="dxa" w:w="5688"/>
            <w:vAlign w:val="top"/>
            <w:shd w:fill="F8FAFC"/>
          </w:tcPr>
          <w:p>
            <w:pPr>
              <w:spacing w:after="20"/>
            </w:pPr>
            <w:r>
              <w:rPr>
                <w:rFonts w:ascii="Aptos" w:hAnsi="Aptos"/>
                <w:color w:val="122033"/>
                <w:sz w:val="19"/>
              </w:rPr>
              <w:t>Approved visual-regression baselines at representative breakpoints.</w:t>
            </w:r>
          </w:p>
        </w:tc>
      </w:tr>
      <w:tr>
        <w:tc>
          <w:tcPr>
            <w:tcW w:type="dxa" w:w="1440"/>
            <w:vAlign w:val="top"/>
          </w:tcPr>
          <w:p>
            <w:pPr>
              <w:spacing w:after="20"/>
            </w:pPr>
            <w:r>
              <w:rPr>
                <w:rFonts w:ascii="Aptos" w:hAnsi="Aptos"/>
                <w:color w:val="122033"/>
                <w:sz w:val="19"/>
              </w:rPr>
              <w:t>IB2</w:t>
            </w:r>
          </w:p>
        </w:tc>
        <w:tc>
          <w:tcPr>
            <w:tcW w:type="dxa" w:w="2448"/>
            <w:vAlign w:val="top"/>
          </w:tcPr>
          <w:p>
            <w:pPr>
              <w:spacing w:after="20"/>
            </w:pPr>
            <w:r>
              <w:rPr>
                <w:rFonts w:ascii="Aptos" w:hAnsi="Aptos"/>
                <w:color w:val="122033"/>
                <w:sz w:val="19"/>
              </w:rPr>
              <w:t>Documentation</w:t>
            </w:r>
          </w:p>
        </w:tc>
        <w:tc>
          <w:tcPr>
            <w:tcW w:type="dxa" w:w="5688"/>
            <w:vAlign w:val="top"/>
          </w:tcPr>
          <w:p>
            <w:pPr>
              <w:spacing w:after="20"/>
            </w:pPr>
            <w:r>
              <w:rPr>
                <w:rFonts w:ascii="Aptos" w:hAnsi="Aptos"/>
                <w:color w:val="122033"/>
                <w:sz w:val="19"/>
              </w:rPr>
              <w:t>UI laboratory examples and usage guidance.</w:t>
            </w:r>
          </w:p>
        </w:tc>
      </w:tr>
      <w:tr>
        <w:tc>
          <w:tcPr>
            <w:tcW w:type="dxa" w:w="1440"/>
            <w:vAlign w:val="top"/>
            <w:shd w:fill="F8FAFC"/>
          </w:tcPr>
          <w:p>
            <w:pPr>
              <w:spacing w:after="20"/>
            </w:pPr>
            <w:r>
              <w:rPr>
                <w:rFonts w:ascii="Aptos" w:hAnsi="Aptos"/>
                <w:color w:val="122033"/>
                <w:sz w:val="19"/>
              </w:rPr>
              <w:t>IB2</w:t>
            </w:r>
          </w:p>
        </w:tc>
        <w:tc>
          <w:tcPr>
            <w:tcW w:type="dxa" w:w="2448"/>
            <w:vAlign w:val="top"/>
            <w:shd w:fill="F8FAFC"/>
          </w:tcPr>
          <w:p>
            <w:pPr>
              <w:spacing w:after="20"/>
            </w:pPr>
            <w:r>
              <w:rPr>
                <w:rFonts w:ascii="Aptos" w:hAnsi="Aptos"/>
                <w:color w:val="122033"/>
                <w:sz w:val="19"/>
              </w:rPr>
              <w:t>Milestone acceptance</w:t>
            </w:r>
          </w:p>
        </w:tc>
        <w:tc>
          <w:tcPr>
            <w:tcW w:type="dxa" w:w="5688"/>
            <w:vAlign w:val="top"/>
            <w:shd w:fill="F8FAFC"/>
          </w:tcPr>
          <w:p>
            <w:pPr>
              <w:spacing w:after="20"/>
            </w:pPr>
            <w:r>
              <w:rPr>
                <w:rFonts w:ascii="Aptos" w:hAnsi="Aptos"/>
                <w:color w:val="122033"/>
                <w:sz w:val="19"/>
              </w:rPr>
              <w:t>Recorded Product Owner / Solutions Architect acceptance and unresolved-exception register.</w:t>
            </w:r>
          </w:p>
        </w:tc>
      </w:tr>
    </w:tbl>
    <w:p>
      <w:pPr>
        <w:spacing w:after="40"/>
      </w:pPr>
    </w:p>
    <w:tbl>
      <w:tblPr>
        <w:tblW w:type="auto" w:w="0"/>
        <w:jc w:val="center"/>
        <w:tblLayout w:type="fixed"/>
        <w:tblLook w:firstColumn="1" w:firstRow="1" w:lastColumn="0" w:lastRow="0" w:noHBand="0" w:noVBand="1" w:val="04A0"/>
      </w:tblPr>
      <w:tblGrid>
        <w:gridCol w:w="9576"/>
      </w:tblGrid>
      <w:tr>
        <w:tc>
          <w:tcPr>
            <w:tcW w:type="dxa" w:w="10166"/>
            <w:shd w:fill="FDECEC"/>
            <w:tcBorders>
              <w:top w:val="single" w:sz="12" w:color="9E3D3D"/>
              <w:left w:val="single" w:sz="12" w:color="9E3D3D"/>
              <w:bottom w:val="single" w:sz="8" w:color="9E3D3D"/>
              <w:right w:val="single" w:sz="8" w:color="9E3D3D"/>
            </w:tcBorders>
          </w:tcPr>
          <w:p>
            <w:pPr>
              <w:spacing w:before="80" w:after="80"/>
            </w:pPr>
            <w:r>
              <w:rPr>
                <w:rFonts w:ascii="Aptos" w:hAnsi="Aptos"/>
                <w:b/>
                <w:color w:val="9E3D3D"/>
                <w:sz w:val="21"/>
              </w:rPr>
              <w:t>CONTROLLED COMPLETION RULE</w:t>
              <w:br/>
            </w:r>
            <w:r>
              <w:rPr>
                <w:rFonts w:ascii="Aptos" w:hAnsi="Aptos"/>
                <w:color w:val="122033"/>
                <w:sz w:val="23"/>
              </w:rPr>
              <w:t>No IB0–IB2 milestone shall be declared complete solely from narrative review. Completion requires the implemented artefacts, automated/manual evidence and recorded architecture acceptance defined in this roadmap.</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16"/>
      <w:gridCol w:w="3216"/>
      <w:gridCol w:w="3216"/>
    </w:tblGrid>
    <w:tr>
      <w:tc>
        <w:tcPr>
          <w:tcW w:type="dxa" w:w="3216"/>
          <w:tcBorders>
            <w:top w:val="nil"/>
            <w:left w:val="nil"/>
            <w:bottom w:val="nil"/>
            <w:right w:val="nil"/>
          </w:tcBorders>
        </w:tcPr>
        <w:p>
          <w:pPr>
            <w:jc w:val="left"/>
          </w:pPr>
          <w:r>
            <w:rPr>
              <w:rFonts w:ascii="Aptos" w:hAnsi="Aptos"/>
              <w:color w:val="667085"/>
              <w:sz w:val="15"/>
            </w:rPr>
            <w:t>PROSEIT ORGANISATION OF SOFTWARE PROFESSIONALS LTD</w:t>
          </w:r>
        </w:p>
      </w:tc>
      <w:tc>
        <w:tcPr>
          <w:tcW w:type="dxa" w:w="3216"/>
          <w:tcBorders>
            <w:top w:val="nil"/>
            <w:left w:val="nil"/>
            <w:bottom w:val="nil"/>
            <w:right w:val="nil"/>
          </w:tcBorders>
        </w:tcPr>
        <w:p>
          <w:pPr>
            <w:jc w:val="center"/>
          </w:pPr>
          <w:r>
            <w:rPr>
              <w:rFonts w:ascii="Aptos" w:hAnsi="Aptos"/>
              <w:color w:val="667085"/>
              <w:sz w:val="15"/>
            </w:rPr>
            <w:t>PROSEIT-STD-PMRA-AF-006-IR01</w:t>
          </w:r>
        </w:p>
      </w:tc>
      <w:tc>
        <w:tcPr>
          <w:tcW w:type="dxa" w:w="3216"/>
          <w:tcBorders>
            <w:top w:val="nil"/>
            <w:left w:val="nil"/>
            <w:bottom w:val="nil"/>
            <w:right w:val="nil"/>
          </w:tcBorders>
        </w:tcPr>
        <w:p>
          <w:pPr>
            <w:jc w:val="right"/>
          </w:pPr>
          <w:r>
            <w:rPr>
              <w:rFonts w:ascii="Aptos" w:hAnsi="Aptos"/>
              <w:color w:val="667085"/>
              <w:sz w:val="15"/>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7"/>
      </w:rPr>
      <w:t>PAEP IMPLEMENTATION ROADMAP | IB0–IB2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E2E5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E2E53"/>
      <w:sz w:val="29"/>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D9A51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0E2E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EPCode">
    <w:name w:val="PAEP 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