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CRM Enterprise ご提案書</w:t>
      </w:r>
    </w:p>
    <w:p>
      <w:r>
        <w:t>Northwind Software 株式会社 / 提案日: 2026年8月18日 / 提案有効期限: 2026年11月30日</w:t>
      </w:r>
    </w:p>
    <w:p>
      <w:pPr>
        <w:pStyle w:val="Heading1"/>
      </w:pPr>
      <w:r>
        <w:t>1. エグゼクティブサマリ</w:t>
      </w:r>
    </w:p>
    <w:p>
      <w:r>
        <w:t>弊社 Northwind CRM Enterprise は、営業・カスタマーサクセス・経営企画の3部門を単一データモデルで統合し、貴社の Legacy CRM 置き換えを 6 ヶ月で実現します。同業種での導入実績は国内 42 社です。</w:t>
      </w:r>
    </w:p>
    <w:p>
      <w:pPr>
        <w:pStyle w:val="Heading1"/>
      </w:pPr>
      <w:r>
        <w:t>2. ご提示価格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初年度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2年目以降(年)</w:t>
            </w:r>
          </w:p>
        </w:tc>
      </w:tr>
      <w:tr>
        <w:tc>
          <w:tcPr>
            <w:tcW w:type="dxa" w:w="2880"/>
          </w:tcPr>
          <w:p>
            <w:r>
              <w:t>ライセンス（250ユーザー）</w:t>
            </w:r>
          </w:p>
        </w:tc>
        <w:tc>
          <w:tcPr>
            <w:tcW w:type="dxa" w:w="2880"/>
          </w:tcPr>
          <w:p>
            <w:r>
              <w:t>28,500,000円</w:t>
            </w:r>
          </w:p>
        </w:tc>
        <w:tc>
          <w:tcPr>
            <w:tcW w:type="dxa" w:w="2880"/>
          </w:tcPr>
          <w:p>
            <w:r>
              <w:t>26,000,000円</w:t>
            </w:r>
          </w:p>
        </w:tc>
      </w:tr>
      <w:tr>
        <w:tc>
          <w:tcPr>
            <w:tcW w:type="dxa" w:w="2880"/>
          </w:tcPr>
          <w:p>
            <w:r>
              <w:t>初期構築・設定</w:t>
            </w:r>
          </w:p>
        </w:tc>
        <w:tc>
          <w:tcPr>
            <w:tcW w:type="dxa" w:w="2880"/>
          </w:tcPr>
          <w:p>
            <w:r>
              <w:t>8,200,000円</w:t>
            </w:r>
          </w:p>
        </w:tc>
        <w:tc>
          <w:tcPr>
            <w:tcW w:type="dxa" w:w="2880"/>
          </w:tcPr>
          <w:p>
            <w:r>
              <w:t>―</w:t>
            </w:r>
          </w:p>
        </w:tc>
      </w:tr>
      <w:tr>
        <w:tc>
          <w:tcPr>
            <w:tcW w:type="dxa" w:w="2880"/>
          </w:tcPr>
          <w:p>
            <w:r>
              <w:t>データ移行（120万レコード）</w:t>
            </w:r>
          </w:p>
        </w:tc>
        <w:tc>
          <w:tcPr>
            <w:tcW w:type="dxa" w:w="2880"/>
          </w:tcPr>
          <w:p>
            <w:r>
              <w:t>6,500,000円</w:t>
            </w:r>
          </w:p>
        </w:tc>
        <w:tc>
          <w:tcPr>
            <w:tcW w:type="dxa" w:w="2880"/>
          </w:tcPr>
          <w:p>
            <w:r>
              <w:t>―</w:t>
            </w:r>
          </w:p>
        </w:tc>
      </w:tr>
      <w:tr>
        <w:tc>
          <w:tcPr>
            <w:tcW w:type="dxa" w:w="2880"/>
          </w:tcPr>
          <w:p>
            <w:r>
              <w:t>プレミアムサポート（24/365・日本語）</w:t>
            </w:r>
          </w:p>
        </w:tc>
        <w:tc>
          <w:tcPr>
            <w:tcW w:type="dxa" w:w="2880"/>
          </w:tcPr>
          <w:p>
            <w:r>
              <w:t>4,200,000円</w:t>
            </w:r>
          </w:p>
        </w:tc>
        <w:tc>
          <w:tcPr>
            <w:tcW w:type="dxa" w:w="2880"/>
          </w:tcPr>
          <w:p>
            <w:r>
              <w:t>4,200,000円</w:t>
            </w:r>
          </w:p>
        </w:tc>
      </w:tr>
      <w:tr>
        <w:tc>
          <w:tcPr>
            <w:tcW w:type="dxa" w:w="2880"/>
          </w:tcPr>
          <w:p>
            <w:r>
              <w:t>初年度合計</w:t>
            </w:r>
          </w:p>
        </w:tc>
        <w:tc>
          <w:tcPr>
            <w:tcW w:type="dxa" w:w="2880"/>
          </w:tcPr>
          <w:p>
            <w:r>
              <w:t>47,400,000円</w:t>
            </w:r>
          </w:p>
        </w:tc>
        <w:tc>
          <w:tcPr>
            <w:tcW w:type="dxa" w:w="2880"/>
          </w:tcPr>
          <w:p>
            <w:r>
              <w:t>―</w:t>
            </w:r>
          </w:p>
        </w:tc>
      </w:tr>
    </w:tbl>
    <w:p/>
    <w:p>
      <w:r>
        <w:t>5年TCO: 約1億6,100万円。※ボリュームディスカウント適用後の金額です。</w:t>
      </w:r>
    </w:p>
    <w:p>
      <w:pPr>
        <w:pStyle w:val="Heading1"/>
      </w:pPr>
      <w:r>
        <w:t>3. RFP要件への対応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要件ID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対応可否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2880"/>
          </w:tcPr>
          <w:p>
            <w:r>
              <w:t>M-01 SSO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SAML 2.0 / SCIM プロビジョニング対応</w:t>
            </w:r>
          </w:p>
        </w:tc>
      </w:tr>
      <w:tr>
        <w:tc>
          <w:tcPr>
            <w:tcW w:type="dxa" w:w="2880"/>
          </w:tcPr>
          <w:p>
            <w:r>
              <w:t>M-02 監査ログ5年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標準で7年保持</w:t>
            </w:r>
          </w:p>
        </w:tc>
      </w:tr>
      <w:tr>
        <w:tc>
          <w:tcPr>
            <w:tcW w:type="dxa" w:w="2880"/>
          </w:tcPr>
          <w:p>
            <w:r>
              <w:t>M-03 国内リージョン</w:t>
            </w:r>
          </w:p>
        </w:tc>
        <w:tc>
          <w:tcPr>
            <w:tcW w:type="dxa" w:w="2880"/>
          </w:tcPr>
          <w:p>
            <w:r>
              <w:t>△</w:t>
            </w:r>
          </w:p>
        </w:tc>
        <w:tc>
          <w:tcPr>
            <w:tcW w:type="dxa" w:w="2880"/>
          </w:tcPr>
          <w:p>
            <w:r>
              <w:t>Enterprise Plus プランへのアップグレードが必要（+年420万円）</w:t>
            </w:r>
          </w:p>
        </w:tc>
      </w:tr>
      <w:tr>
        <w:tc>
          <w:tcPr>
            <w:tcW w:type="dxa" w:w="2880"/>
          </w:tcPr>
          <w:p>
            <w:r>
              <w:t>M-04 移行支援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弊社プロフェッショナルサービスが直接実施</w:t>
            </w:r>
          </w:p>
        </w:tc>
      </w:tr>
      <w:tr>
        <w:tc>
          <w:tcPr>
            <w:tcW w:type="dxa" w:w="2880"/>
          </w:tcPr>
          <w:p>
            <w:r>
              <w:t>M-05 API双方向連携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REST / Webhook によるリアルタイム同期</w:t>
            </w:r>
          </w:p>
        </w:tc>
      </w:tr>
      <w:tr>
        <w:tc>
          <w:tcPr>
            <w:tcW w:type="dxa" w:w="2880"/>
          </w:tcPr>
          <w:p>
            <w:r>
              <w:t>M-06 2027年1月稼働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2026年10月着手を前提</w:t>
            </w:r>
          </w:p>
        </w:tc>
      </w:tr>
      <w:tr>
        <w:tc>
          <w:tcPr>
            <w:tcW w:type="dxa" w:w="2880"/>
          </w:tcPr>
          <w:p>
            <w:r>
              <w:t>W-01 モバイル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iOS / Android</w:t>
            </w:r>
          </w:p>
        </w:tc>
      </w:tr>
      <w:tr>
        <w:tc>
          <w:tcPr>
            <w:tcW w:type="dxa" w:w="2880"/>
          </w:tcPr>
          <w:p>
            <w:r>
              <w:t>W-02 ノーコード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W-03 ダッシュボード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W-04 24/365サポート</w:t>
            </w:r>
          </w:p>
        </w:tc>
        <w:tc>
          <w:tcPr>
            <w:tcW w:type="dxa" w:w="2880"/>
          </w:tcPr>
          <w:p>
            <w:r>
              <w:t>○</w:t>
            </w:r>
          </w:p>
        </w:tc>
        <w:tc>
          <w:tcPr>
            <w:tcW w:type="dxa" w:w="2880"/>
          </w:tcPr>
          <w:p>
            <w:r>
              <w:t>プレミアムサポート契約に含む</w:t>
            </w:r>
          </w:p>
        </w:tc>
      </w:tr>
    </w:tbl>
    <w:p/>
    <w:p>
      <w:pPr>
        <w:pStyle w:val="Heading1"/>
      </w:pPr>
      <w:r>
        <w:t>4. 前提条件</w:t>
      </w:r>
    </w:p>
    <w:p>
      <w:r>
        <w:t>本見積は標準リージョン（米国東部）での構成を前提としています。国内保管をご希望の場合は別途ご相談ください。</w:t>
      </w:r>
    </w:p>
    <w:p>
      <w:r>
        <w:t>移行対象レコードが 120 万件を超える場合、追加費用が発生します。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