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3C61" w:rsidRDefault="002226F9">
      <w:r>
        <w:rPr>
          <w:u w:val="single"/>
        </w:rPr>
        <w:t>Exigences fonctionnelles :</w:t>
      </w:r>
    </w:p>
    <w:p w:rsidR="001E3C61" w:rsidRDefault="002226F9">
      <w:r>
        <w:t xml:space="preserve">Les différentes exigences fonctionnelles : </w:t>
      </w:r>
    </w:p>
    <w:p w:rsidR="001E3C61" w:rsidRDefault="002226F9">
      <w:pPr>
        <w:numPr>
          <w:ilvl w:val="0"/>
          <w:numId w:val="2"/>
        </w:numPr>
        <w:ind w:hanging="360"/>
        <w:contextualSpacing/>
      </w:pPr>
      <w:r>
        <w:t>Secrétaire</w:t>
      </w:r>
    </w:p>
    <w:p w:rsidR="001E3C61" w:rsidRDefault="002226F9">
      <w:pPr>
        <w:numPr>
          <w:ilvl w:val="0"/>
          <w:numId w:val="2"/>
        </w:numPr>
        <w:ind w:hanging="360"/>
        <w:contextualSpacing/>
      </w:pPr>
      <w:r>
        <w:t>Responsable de la formation</w:t>
      </w:r>
    </w:p>
    <w:p w:rsidR="001E3C61" w:rsidRDefault="002226F9">
      <w:pPr>
        <w:numPr>
          <w:ilvl w:val="0"/>
          <w:numId w:val="2"/>
        </w:numPr>
        <w:ind w:hanging="360"/>
        <w:contextualSpacing/>
      </w:pPr>
      <w:r>
        <w:t>Directeur</w:t>
      </w:r>
    </w:p>
    <w:p w:rsidR="001E3C61" w:rsidRDefault="001E3C61"/>
    <w:p w:rsidR="001E3C61" w:rsidRDefault="002226F9">
      <w:pPr>
        <w:numPr>
          <w:ilvl w:val="0"/>
          <w:numId w:val="1"/>
        </w:numPr>
        <w:ind w:hanging="360"/>
        <w:contextualSpacing/>
      </w:pPr>
      <w:r>
        <w:t>Les utilisateurs peuvent se connecter via une interface web.(en intranet?)</w:t>
      </w:r>
    </w:p>
    <w:p w:rsidR="001E3C61" w:rsidRDefault="002226F9">
      <w:pPr>
        <w:numPr>
          <w:ilvl w:val="0"/>
          <w:numId w:val="1"/>
        </w:numPr>
        <w:ind w:hanging="360"/>
        <w:contextualSpacing/>
      </w:pPr>
      <w:r>
        <w:t>L’interface doit être simple et adapté aux utilisateurs.</w:t>
      </w:r>
      <w:r>
        <w:tab/>
      </w:r>
    </w:p>
    <w:p w:rsidR="001E3C61" w:rsidRDefault="002226F9">
      <w:pPr>
        <w:numPr>
          <w:ilvl w:val="0"/>
          <w:numId w:val="1"/>
        </w:numPr>
        <w:ind w:hanging="360"/>
        <w:contextualSpacing/>
      </w:pPr>
      <w:r>
        <w:t>Un étudiant peut postuler pour une ou plusieurs formations.</w:t>
      </w:r>
    </w:p>
    <w:p w:rsidR="001E3C61" w:rsidRDefault="002226F9">
      <w:pPr>
        <w:numPr>
          <w:ilvl w:val="0"/>
          <w:numId w:val="1"/>
        </w:numPr>
        <w:ind w:hanging="360"/>
        <w:contextualSpacing/>
      </w:pPr>
      <w:r>
        <w:t>Un étudiant remplit un formulaire papier pour s’inscrire.</w:t>
      </w:r>
    </w:p>
    <w:p w:rsidR="001E3C61" w:rsidRDefault="002226F9">
      <w:pPr>
        <w:numPr>
          <w:ilvl w:val="0"/>
          <w:numId w:val="1"/>
        </w:numPr>
        <w:ind w:hanging="360"/>
        <w:contextualSpacing/>
      </w:pPr>
      <w:r>
        <w:t>Une secrétaire rempli le dossier numérique.</w:t>
      </w:r>
    </w:p>
    <w:p w:rsidR="001E3C61" w:rsidRDefault="002226F9">
      <w:pPr>
        <w:numPr>
          <w:ilvl w:val="0"/>
          <w:numId w:val="1"/>
        </w:numPr>
        <w:ind w:hanging="360"/>
        <w:contextualSpacing/>
      </w:pPr>
      <w:r>
        <w:t>Une secrétaire peut notifier un dossier complet.</w:t>
      </w:r>
    </w:p>
    <w:p w:rsidR="001E3C61" w:rsidRDefault="002226F9">
      <w:pPr>
        <w:numPr>
          <w:ilvl w:val="0"/>
          <w:numId w:val="1"/>
        </w:numPr>
        <w:ind w:hanging="360"/>
        <w:contextualSpacing/>
      </w:pPr>
      <w:r>
        <w:t>Une secrétaire peut visualiser les dossiers.</w:t>
      </w:r>
    </w:p>
    <w:p w:rsidR="001E3C61" w:rsidRDefault="002226F9">
      <w:pPr>
        <w:numPr>
          <w:ilvl w:val="0"/>
          <w:numId w:val="1"/>
        </w:numPr>
        <w:ind w:hanging="360"/>
        <w:contextualSpacing/>
      </w:pPr>
      <w:r>
        <w:t>Une secrétaire peut notifier le passage en commission du dossier.</w:t>
      </w:r>
    </w:p>
    <w:p w:rsidR="001E3C61" w:rsidRDefault="002226F9">
      <w:pPr>
        <w:numPr>
          <w:ilvl w:val="0"/>
          <w:numId w:val="1"/>
        </w:numPr>
        <w:ind w:hanging="360"/>
        <w:contextualSpacing/>
      </w:pPr>
      <w:r>
        <w:t>Une secrétaire peut notifier un dossier incomplet.</w:t>
      </w:r>
    </w:p>
    <w:p w:rsidR="001E3C61" w:rsidRDefault="002226F9">
      <w:pPr>
        <w:numPr>
          <w:ilvl w:val="0"/>
          <w:numId w:val="1"/>
        </w:numPr>
        <w:ind w:hanging="360"/>
        <w:contextualSpacing/>
      </w:pPr>
      <w:r>
        <w:t>Un responsable de commission peut refuser un dossier.</w:t>
      </w:r>
    </w:p>
    <w:p w:rsidR="001E3C61" w:rsidRDefault="002226F9">
      <w:pPr>
        <w:numPr>
          <w:ilvl w:val="0"/>
          <w:numId w:val="1"/>
        </w:numPr>
        <w:ind w:hanging="360"/>
        <w:contextualSpacing/>
      </w:pPr>
      <w:r>
        <w:t>Un responsable de commission peut accepter un dossier.</w:t>
      </w:r>
    </w:p>
    <w:p w:rsidR="001E3C61" w:rsidRDefault="002226F9">
      <w:pPr>
        <w:numPr>
          <w:ilvl w:val="0"/>
          <w:numId w:val="1"/>
        </w:numPr>
        <w:ind w:hanging="360"/>
        <w:contextualSpacing/>
      </w:pPr>
      <w:r>
        <w:t xml:space="preserve">Un responsable de commission </w:t>
      </w:r>
      <w:r>
        <w:t>peut réorienter une candidature vers un niveau inférieur.</w:t>
      </w:r>
    </w:p>
    <w:p w:rsidR="001E3C61" w:rsidRDefault="002226F9">
      <w:pPr>
        <w:numPr>
          <w:ilvl w:val="0"/>
          <w:numId w:val="1"/>
        </w:numPr>
        <w:ind w:hanging="360"/>
        <w:contextualSpacing/>
      </w:pPr>
      <w:r>
        <w:t>Le directeur peut valider la décision de la commission.</w:t>
      </w:r>
    </w:p>
    <w:p w:rsidR="001E3C61" w:rsidRDefault="002226F9">
      <w:pPr>
        <w:numPr>
          <w:ilvl w:val="0"/>
          <w:numId w:val="1"/>
        </w:numPr>
        <w:ind w:hanging="360"/>
        <w:contextualSpacing/>
      </w:pPr>
      <w:r>
        <w:t>Le directeur peut refuser la décision de la commission.</w:t>
      </w:r>
    </w:p>
    <w:p w:rsidR="001E3C61" w:rsidRDefault="002226F9">
      <w:pPr>
        <w:numPr>
          <w:ilvl w:val="0"/>
          <w:numId w:val="1"/>
        </w:numPr>
        <w:ind w:hanging="360"/>
        <w:contextualSpacing/>
      </w:pPr>
      <w:r>
        <w:t>la commission peut forcer la validation d’un dossier refusé par le directeur.</w:t>
      </w:r>
    </w:p>
    <w:p w:rsidR="001E3C61" w:rsidRDefault="002226F9">
      <w:pPr>
        <w:numPr>
          <w:ilvl w:val="0"/>
          <w:numId w:val="1"/>
        </w:numPr>
        <w:ind w:hanging="360"/>
        <w:contextualSpacing/>
      </w:pPr>
      <w:r>
        <w:t>La durée</w:t>
      </w:r>
      <w:r>
        <w:t xml:space="preserve"> maximale du traitement d’un dossier ne dépasse pas 1 mois et 10 jours.</w:t>
      </w:r>
    </w:p>
    <w:p w:rsidR="001E3C61" w:rsidRDefault="002226F9">
      <w:pPr>
        <w:numPr>
          <w:ilvl w:val="0"/>
          <w:numId w:val="1"/>
        </w:numPr>
        <w:ind w:hanging="360"/>
        <w:contextualSpacing/>
      </w:pPr>
      <w:r>
        <w:t>limiter les actions des utilisateurs à</w:t>
      </w:r>
      <w:r>
        <w:t xml:space="preserve"> leurs droits propres</w:t>
      </w:r>
    </w:p>
    <w:p w:rsidR="001E3C61" w:rsidRDefault="001E3C61">
      <w:bookmarkStart w:id="0" w:name="_GoBack"/>
      <w:bookmarkEnd w:id="0"/>
    </w:p>
    <w:p w:rsidR="001E3C61" w:rsidRDefault="001E3C61"/>
    <w:p w:rsidR="001E3C61" w:rsidRDefault="002226F9">
      <w:r>
        <w:rPr>
          <w:u w:val="single"/>
        </w:rPr>
        <w:t>Exigences non fonctionnelles :</w:t>
      </w:r>
    </w:p>
    <w:p w:rsidR="001E3C61" w:rsidRDefault="001E3C61"/>
    <w:p w:rsidR="001E3C61" w:rsidRDefault="002226F9">
      <w:pPr>
        <w:numPr>
          <w:ilvl w:val="0"/>
          <w:numId w:val="3"/>
        </w:numPr>
        <w:ind w:hanging="360"/>
        <w:contextualSpacing/>
      </w:pPr>
      <w:r>
        <w:t>Respect de la loi DCRA “</w:t>
      </w:r>
      <w:r>
        <w:rPr>
          <w:sz w:val="23"/>
          <w:szCs w:val="23"/>
          <w:highlight w:val="white"/>
        </w:rPr>
        <w:t>Loi n° 2000-321 du 12 avril 2000 relative aux droits des citoyens dans leurs relations avec les administrations “</w:t>
      </w:r>
    </w:p>
    <w:p w:rsidR="001E3C61" w:rsidRDefault="001E3C61"/>
    <w:p w:rsidR="001E3C61" w:rsidRDefault="001E3C61"/>
    <w:p w:rsidR="001E3C61" w:rsidRDefault="001E3C61"/>
    <w:p w:rsidR="001E3C61" w:rsidRDefault="001E3C61"/>
    <w:p w:rsidR="001E3C61" w:rsidRDefault="001E3C61"/>
    <w:sectPr w:rsidR="001E3C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43B9E"/>
    <w:multiLevelType w:val="multilevel"/>
    <w:tmpl w:val="CEF884EE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5FE104AA"/>
    <w:multiLevelType w:val="multilevel"/>
    <w:tmpl w:val="3DD8D48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E815C29"/>
    <w:multiLevelType w:val="multilevel"/>
    <w:tmpl w:val="C46292B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E3C61"/>
    <w:rsid w:val="001E3C61"/>
    <w:rsid w:val="0022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A6123C-E1CB-4401-BFD7-0F409E2D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Seif-Eddine El Haimer</cp:lastModifiedBy>
  <cp:revision>2</cp:revision>
  <dcterms:created xsi:type="dcterms:W3CDTF">2015-11-03T23:22:00Z</dcterms:created>
  <dcterms:modified xsi:type="dcterms:W3CDTF">2015-11-03T23:22:00Z</dcterms:modified>
</cp:coreProperties>
</file>