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Trade Matching System</w:t>
      </w:r>
    </w:p>
    <w:p>
      <w:pPr>
        <w:spacing w:after="400"/>
        <w:jc w:val="center"/>
      </w:pPr>
      <w:r>
        <w:rPr>
          <w:color w:val="666666"/>
          <w:sz w:val="28"/>
          <w:szCs w:val="28"/>
        </w:rPr>
        <w:t xml:space="preserve">UI/UX Specification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4FD" w:val="clear"/>
          </w:tcPr>
          <w:p>
            <w:r>
              <w:rPr>
                <w:b/>
                <w:bCs/>
              </w:rPr>
              <w:t xml:space="preserve">Project</w:t>
            </w:r>
          </w:p>
        </w:tc>
        <w:tc>
          <w:tcPr>
            <w:tcW w:type="dxa" w:w="7020"/>
            <w:tcBorders>
              <w:top w:val="single" w:color="CCCCCC" w:sz="1"/>
              <w:left w:val="single" w:color="CCCCCC" w:sz="1"/>
              <w:bottom w:val="single" w:color="CCCCCC" w:sz="1"/>
              <w:right w:val="single" w:color="CCCCCC" w:sz="1"/>
            </w:tcBorders>
          </w:tcPr>
          <w:p>
            <w:r>
              <w:t xml:space="preserve">OTC Derivative Trade Confirmation Automation</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December 2024</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Author</w:t>
            </w:r>
          </w:p>
        </w:tc>
        <w:tc>
          <w:tcPr>
            <w:tcW w:type="dxa" w:w="7020"/>
            <w:tcBorders>
              <w:top w:val="single" w:color="CCCCCC" w:sz="1"/>
              <w:left w:val="single" w:color="CCCCCC" w:sz="1"/>
              <w:bottom w:val="single" w:color="CCCCCC" w:sz="1"/>
              <w:right w:val="single" w:color="CCCCCC" w:sz="1"/>
            </w:tcBorders>
          </w:tcPr>
          <w:p>
            <w:r>
              <w:t xml:space="preserve">Koushal Dutt / AWS</w:t>
            </w:r>
          </w:p>
        </w:tc>
      </w:tr>
    </w:tbl>
    <w:p>
      <w:pPr>
        <w:pStyle w:val="Heading1"/>
      </w:pPr>
      <w:r>
        <w:t xml:space="preserve">1. Overview</w:t>
      </w:r>
    </w:p>
    <w:p>
      <w:pPr>
        <w:spacing w:after="200"/>
      </w:pPr>
      <w:r>
        <w:t xml:space="preserve">This document outlines the UI specifications for the AI Trade Matching System web application. The system enables banks to upload trade confirmation documents (from both Bank and Counterparty sides) and leverages AWS Bedrock agents to automatically extract, match, and reconcile trade details.</w:t>
      </w:r>
    </w:p>
    <w:p>
      <w:pPr>
        <w:pStyle w:val="Heading1"/>
      </w:pPr>
      <w:r>
        <w:t xml:space="preserve">2. Page Layout Structure</w:t>
      </w:r>
    </w:p>
    <w:p>
      <w:pPr>
        <w:pStyle w:val="Heading2"/>
      </w:pPr>
      <w:r>
        <w:t xml:space="preserve">2.1 Header Section</w:t>
      </w:r>
    </w:p>
    <w:p>
      <w:pPr>
        <w:pStyle w:val="ListParagraph"/>
        <w:numPr>
          <w:ilvl w:val="0"/>
          <w:numId w:val="2"/>
        </w:numPr>
      </w:pPr>
      <w:r>
        <w:t xml:space="preserve">AWS logo positioned top-left</w:t>
      </w:r>
    </w:p>
    <w:p>
      <w:pPr>
        <w:pStyle w:val="ListParagraph"/>
        <w:numPr>
          <w:ilvl w:val="0"/>
          <w:numId w:val="2"/>
        </w:numPr>
      </w:pPr>
      <w:r>
        <w:t xml:space="preserve">Application title: "AI Trade Matching System" - centered</w:t>
      </w:r>
    </w:p>
    <w:p>
      <w:pPr>
        <w:pStyle w:val="ListParagraph"/>
        <w:numPr>
          <w:ilvl w:val="0"/>
          <w:numId w:val="2"/>
        </w:numPr>
      </w:pPr>
      <w:r>
        <w:t xml:space="preserve">User profile/logout controls - top-right (optional)</w:t>
      </w:r>
    </w:p>
    <w:p>
      <w:pPr>
        <w:pStyle w:val="ListParagraph"/>
        <w:numPr>
          <w:ilvl w:val="0"/>
          <w:numId w:val="2"/>
        </w:numPr>
      </w:pPr>
      <w:r>
        <w:t xml:space="preserve">Background color: AWS Orange (#FF9900) or Dark Navy (#232F3E)</w:t>
      </w:r>
    </w:p>
    <w:p>
      <w:pPr>
        <w:pStyle w:val="Heading2"/>
      </w:pPr>
      <w:r>
        <w:t xml:space="preserve">2.2 Upload Section</w:t>
      </w:r>
    </w:p>
    <w:p>
      <w:pPr>
        <w:spacing w:after="100"/>
      </w:pPr>
      <w:r>
        <w:t xml:space="preserve">Two side-by-side file upload areas: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Bank Upload</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Counterparty Upload</w:t>
            </w:r>
          </w:p>
        </w:tc>
      </w:tr>
      <w:tr>
        <w:tc>
          <w:tcPr>
            <w:tcW w:type="dxa" w:w="4680"/>
            <w:tcBorders>
              <w:top w:val="single" w:color="CCCCCC" w:sz="1"/>
              <w:left w:val="single" w:color="CCCCCC" w:sz="1"/>
              <w:bottom w:val="single" w:color="CCCCCC" w:sz="1"/>
              <w:right w:val="single" w:color="CCCCCC" w:sz="1"/>
            </w:tcBorders>
          </w:tcPr>
          <w:p>
            <w:r>
              <w:rPr>
                <w:b/>
                <w:bCs/>
              </w:rPr>
              <w:t xml:space="preserve">Label: </w:t>
            </w:r>
            <w:r>
              <w:t xml:space="preserve">"Upload - Bank"</w:t>
            </w:r>
          </w:p>
          <w:p>
            <w:r>
              <w:rPr>
                <w:b/>
                <w:bCs/>
              </w:rPr>
              <w:t xml:space="preserve">Action: </w:t>
            </w:r>
            <w:r>
              <w:t xml:space="preserve">Drag &amp; drop or click to upload</w:t>
            </w:r>
          </w:p>
          <w:p>
            <w:r>
              <w:rPr>
                <w:b/>
                <w:bCs/>
              </w:rPr>
              <w:t xml:space="preserve">Formats: </w:t>
            </w:r>
            <w:r>
              <w:t xml:space="preserve">PDF, DOCX</w:t>
            </w:r>
          </w:p>
          <w:p>
            <w:r>
              <w:rPr>
                <w:b/>
                <w:bCs/>
              </w:rPr>
              <w:t xml:space="preserve">Destination: </w:t>
            </w:r>
            <w:r>
              <w:t xml:space="preserve">S3 bucket (bank folder)</w:t>
            </w:r>
          </w:p>
        </w:tc>
        <w:tc>
          <w:tcPr>
            <w:tcW w:type="dxa" w:w="4680"/>
            <w:tcBorders>
              <w:top w:val="single" w:color="CCCCCC" w:sz="1"/>
              <w:left w:val="single" w:color="CCCCCC" w:sz="1"/>
              <w:bottom w:val="single" w:color="CCCCCC" w:sz="1"/>
              <w:right w:val="single" w:color="CCCCCC" w:sz="1"/>
            </w:tcBorders>
          </w:tcPr>
          <w:p>
            <w:r>
              <w:rPr>
                <w:b/>
                <w:bCs/>
              </w:rPr>
              <w:t xml:space="preserve">Label: </w:t>
            </w:r>
            <w:r>
              <w:t xml:space="preserve">"Upload - Counterparty"</w:t>
            </w:r>
          </w:p>
          <w:p>
            <w:r>
              <w:rPr>
                <w:b/>
                <w:bCs/>
              </w:rPr>
              <w:t xml:space="preserve">Action: </w:t>
            </w:r>
            <w:r>
              <w:t xml:space="preserve">Drag &amp; drop or click to upload</w:t>
            </w:r>
          </w:p>
          <w:p>
            <w:r>
              <w:rPr>
                <w:b/>
                <w:bCs/>
              </w:rPr>
              <w:t xml:space="preserve">Formats: </w:t>
            </w:r>
            <w:r>
              <w:t xml:space="preserve">PDF, DOCX</w:t>
            </w:r>
          </w:p>
          <w:p>
            <w:r>
              <w:rPr>
                <w:b/>
                <w:bCs/>
              </w:rPr>
              <w:t xml:space="preserve">Destination: </w:t>
            </w:r>
            <w:r>
              <w:t xml:space="preserve">S3 bucket (counterparty folder)</w:t>
            </w:r>
          </w:p>
        </w:tc>
      </w:tr>
    </w:tbl>
    <w:p>
      <w:pPr>
        <w:pStyle w:val="Heading2"/>
      </w:pPr>
      <w:r>
        <w:t xml:space="preserve">2.3 Workflow Control Bar</w:t>
      </w:r>
    </w:p>
    <w:p>
      <w:pPr>
        <w:spacing w:after="100"/>
      </w:pPr>
      <w:r>
        <w:t xml:space="preserve">Horizontal bar containing workflow identifiers and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Element</w:t>
            </w:r>
          </w:p>
        </w:tc>
        <w:tc>
          <w:tcPr>
            <w:tcW w:type="dxa" w:w="70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Workflow ID</w:t>
            </w:r>
          </w:p>
        </w:tc>
        <w:tc>
          <w:tcPr>
            <w:tcW w:type="dxa" w:w="7020"/>
            <w:tcBorders>
              <w:top w:val="single" w:color="CCCCCC" w:sz="1"/>
              <w:left w:val="single" w:color="CCCCCC" w:sz="1"/>
              <w:bottom w:val="single" w:color="CCCCCC" w:sz="1"/>
              <w:right w:val="single" w:color="CCCCCC" w:sz="1"/>
            </w:tcBorders>
          </w:tcPr>
          <w:p>
            <w:r>
              <w:t xml:space="preserve">Auto-generated unique identifier (e.g., "WF-2024-001")</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Session ID</w:t>
            </w:r>
          </w:p>
        </w:tc>
        <w:tc>
          <w:tcPr>
            <w:tcW w:type="dxa" w:w="7020"/>
            <w:tcBorders>
              <w:top w:val="single" w:color="CCCCCC" w:sz="1"/>
              <w:left w:val="single" w:color="CCCCCC" w:sz="1"/>
              <w:bottom w:val="single" w:color="CCCCCC" w:sz="1"/>
              <w:right w:val="single" w:color="CCCCCC" w:sz="1"/>
            </w:tcBorders>
          </w:tcPr>
          <w:p>
            <w:r>
              <w:t xml:space="preserve">Current session identifier for the agent interaction</w:t>
            </w:r>
          </w:p>
        </w:tc>
      </w:tr>
      <w:tr>
        <w:tc>
          <w:tcPr>
            <w:tcW w:type="dxa" w:w="2340"/>
            <w:tcBorders>
              <w:top w:val="single" w:color="CCCCCC" w:sz="1"/>
              <w:left w:val="single" w:color="CCCCCC" w:sz="1"/>
              <w:bottom w:val="single" w:color="CCCCCC" w:sz="1"/>
              <w:right w:val="single" w:color="CCCCCC" w:sz="1"/>
            </w:tcBorders>
            <w:shd w:fill="E8F4FD" w:val="clear"/>
          </w:tcPr>
          <w:p>
            <w:r>
              <w:rPr>
                <w:b/>
                <w:bCs/>
              </w:rPr>
              <w:t xml:space="preserve">Trace ID</w:t>
            </w:r>
          </w:p>
        </w:tc>
        <w:tc>
          <w:tcPr>
            <w:tcW w:type="dxa" w:w="7020"/>
            <w:tcBorders>
              <w:top w:val="single" w:color="CCCCCC" w:sz="1"/>
              <w:left w:val="single" w:color="CCCCCC" w:sz="1"/>
              <w:bottom w:val="single" w:color="CCCCCC" w:sz="1"/>
              <w:right w:val="single" w:color="CCCCCC" w:sz="1"/>
            </w:tcBorders>
          </w:tcPr>
          <w:p>
            <w:r>
              <w:t xml:space="preserve">AWS X-Ray trace ID for debugging/monitoring</w:t>
            </w:r>
          </w:p>
        </w:tc>
      </w:tr>
    </w:tbl>
    <w:p>
      <w:pPr>
        <w:pStyle w:val="Heading2"/>
      </w:pPr>
      <w:r>
        <w:t xml:space="preserve">2.4 Processing Status Panel</w:t>
      </w:r>
    </w:p>
    <w:p>
      <w:pPr>
        <w:spacing w:after="100"/>
      </w:pPr>
      <w:r>
        <w:t xml:space="preserve">Vertical list showing each processing stage with real-time status updates: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Stage</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Status Display</w:t>
            </w:r>
          </w:p>
        </w:tc>
        <w:tc>
          <w:tcPr>
            <w:tcW w:type="dxa" w:w="37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Pr>
          <w:p>
            <w:r>
              <w:t xml:space="preserve">S3 Upload</w:t>
            </w:r>
          </w:p>
        </w:tc>
        <w:tc>
          <w:tcPr>
            <w:tcW w:type="dxa" w:w="2800"/>
            <w:tcBorders>
              <w:top w:val="single" w:color="CCCCCC" w:sz="1"/>
              <w:left w:val="single" w:color="CCCCCC" w:sz="1"/>
              <w:bottom w:val="single" w:color="CCCCCC" w:sz="1"/>
              <w:right w:val="single" w:color="CCCCCC" w:sz="1"/>
            </w:tcBorders>
          </w:tcPr>
          <w:p>
            <w:r>
              <w:t xml:space="preserve">Receiving S3 URIs</w:t>
            </w:r>
          </w:p>
        </w:tc>
        <w:tc>
          <w:tcPr>
            <w:tcW w:type="dxa" w:w="3760"/>
            <w:tcBorders>
              <w:top w:val="single" w:color="CCCCCC" w:sz="1"/>
              <w:left w:val="single" w:color="CCCCCC" w:sz="1"/>
              <w:bottom w:val="single" w:color="CCCCCC" w:sz="1"/>
              <w:right w:val="single" w:color="CCCCCC" w:sz="1"/>
            </w:tcBorders>
          </w:tcPr>
          <w:p>
            <w:r>
              <w:t xml:space="preserve">Files uploaded to S3, URIs returned</w:t>
            </w:r>
          </w:p>
        </w:tc>
      </w:tr>
      <w:tr>
        <w:tc>
          <w:tcPr>
            <w:tcW w:type="dxa" w:w="2800"/>
            <w:tcBorders>
              <w:top w:val="single" w:color="CCCCCC" w:sz="1"/>
              <w:left w:val="single" w:color="CCCCCC" w:sz="1"/>
              <w:bottom w:val="single" w:color="CCCCCC" w:sz="1"/>
              <w:right w:val="single" w:color="CCCCCC" w:sz="1"/>
            </w:tcBorders>
          </w:tcPr>
          <w:p>
            <w:r>
              <w:t xml:space="preserve">PDF Extraction</w:t>
            </w:r>
          </w:p>
        </w:tc>
        <w:tc>
          <w:tcPr>
            <w:tcW w:type="dxa" w:w="2800"/>
            <w:tcBorders>
              <w:top w:val="single" w:color="CCCCCC" w:sz="1"/>
              <w:left w:val="single" w:color="CCCCCC" w:sz="1"/>
              <w:bottom w:val="single" w:color="CCCCCC" w:sz="1"/>
              <w:right w:val="single" w:color="CCCCCC" w:sz="1"/>
            </w:tcBorders>
          </w:tcPr>
          <w:p>
            <w:r>
              <w:t xml:space="preserve">Agent Status</w:t>
            </w:r>
          </w:p>
        </w:tc>
        <w:tc>
          <w:tcPr>
            <w:tcW w:type="dxa" w:w="3760"/>
            <w:tcBorders>
              <w:top w:val="single" w:color="CCCCCC" w:sz="1"/>
              <w:left w:val="single" w:color="CCCCCC" w:sz="1"/>
              <w:bottom w:val="single" w:color="CCCCCC" w:sz="1"/>
              <w:right w:val="single" w:color="CCCCCC" w:sz="1"/>
            </w:tcBorders>
          </w:tcPr>
          <w:p>
            <w:r>
              <w:t xml:space="preserve">Textract/Bedrock extracting document content</w:t>
            </w:r>
          </w:p>
        </w:tc>
      </w:tr>
      <w:tr>
        <w:tc>
          <w:tcPr>
            <w:tcW w:type="dxa" w:w="2800"/>
            <w:tcBorders>
              <w:top w:val="single" w:color="CCCCCC" w:sz="1"/>
              <w:left w:val="single" w:color="CCCCCC" w:sz="1"/>
              <w:bottom w:val="single" w:color="CCCCCC" w:sz="1"/>
              <w:right w:val="single" w:color="CCCCCC" w:sz="1"/>
            </w:tcBorders>
          </w:tcPr>
          <w:p>
            <w:r>
              <w:t xml:space="preserve">Trade Entries</w:t>
            </w:r>
          </w:p>
        </w:tc>
        <w:tc>
          <w:tcPr>
            <w:tcW w:type="dxa" w:w="2800"/>
            <w:tcBorders>
              <w:top w:val="single" w:color="CCCCCC" w:sz="1"/>
              <w:left w:val="single" w:color="CCCCCC" w:sz="1"/>
              <w:bottom w:val="single" w:color="CCCCCC" w:sz="1"/>
              <w:right w:val="single" w:color="CCCCCC" w:sz="1"/>
            </w:tcBorders>
          </w:tcPr>
          <w:p>
            <w:r>
              <w:t xml:space="preserve">Agent Status</w:t>
            </w:r>
          </w:p>
        </w:tc>
        <w:tc>
          <w:tcPr>
            <w:tcW w:type="dxa" w:w="3760"/>
            <w:tcBorders>
              <w:top w:val="single" w:color="CCCCCC" w:sz="1"/>
              <w:left w:val="single" w:color="CCCCCC" w:sz="1"/>
              <w:bottom w:val="single" w:color="CCCCCC" w:sz="1"/>
              <w:right w:val="single" w:color="CCCCCC" w:sz="1"/>
            </w:tcBorders>
          </w:tcPr>
          <w:p>
            <w:r>
              <w:t xml:space="preserve">Parsing structured trade data from documents</w:t>
            </w:r>
          </w:p>
        </w:tc>
      </w:tr>
      <w:tr>
        <w:tc>
          <w:tcPr>
            <w:tcW w:type="dxa" w:w="2800"/>
            <w:tcBorders>
              <w:top w:val="single" w:color="CCCCCC" w:sz="1"/>
              <w:left w:val="single" w:color="CCCCCC" w:sz="1"/>
              <w:bottom w:val="single" w:color="CCCCCC" w:sz="1"/>
              <w:right w:val="single" w:color="CCCCCC" w:sz="1"/>
            </w:tcBorders>
          </w:tcPr>
          <w:p>
            <w:r>
              <w:t xml:space="preserve">Exception Comparison</w:t>
            </w:r>
          </w:p>
        </w:tc>
        <w:tc>
          <w:tcPr>
            <w:tcW w:type="dxa" w:w="2800"/>
            <w:tcBorders>
              <w:top w:val="single" w:color="CCCCCC" w:sz="1"/>
              <w:left w:val="single" w:color="CCCCCC" w:sz="1"/>
              <w:bottom w:val="single" w:color="CCCCCC" w:sz="1"/>
              <w:right w:val="single" w:color="CCCCCC" w:sz="1"/>
            </w:tcBorders>
          </w:tcPr>
          <w:p>
            <w:r>
              <w:t xml:space="preserve">Agent Status</w:t>
            </w:r>
          </w:p>
        </w:tc>
        <w:tc>
          <w:tcPr>
            <w:tcW w:type="dxa" w:w="3760"/>
            <w:tcBorders>
              <w:top w:val="single" w:color="CCCCCC" w:sz="1"/>
              <w:left w:val="single" w:color="CCCCCC" w:sz="1"/>
              <w:bottom w:val="single" w:color="CCCCCC" w:sz="1"/>
              <w:right w:val="single" w:color="CCCCCC" w:sz="1"/>
            </w:tcBorders>
          </w:tcPr>
          <w:p>
            <w:r>
              <w:t xml:space="preserve">Comparing bank vs counterparty trade details</w:t>
            </w:r>
          </w:p>
        </w:tc>
      </w:tr>
    </w:tbl>
    <w:p>
      <w:pPr>
        <w:pStyle w:val="Heading3"/>
      </w:pPr>
      <w:r>
        <w:t xml:space="preserve">Agent Status Values</w:t>
      </w:r>
    </w:p>
    <w:p>
      <w:pPr>
        <w:pStyle w:val="ListParagraph"/>
        <w:numPr>
          <w:ilvl w:val="0"/>
          <w:numId w:val="2"/>
        </w:numPr>
      </w:pPr>
      <w:r>
        <w:rPr>
          <w:b/>
          <w:bCs/>
        </w:rPr>
        <w:t xml:space="preserve">Pending </w:t>
      </w:r>
      <w:r>
        <w:t xml:space="preserve">- Gray icon, waiting to start</w:t>
      </w:r>
    </w:p>
    <w:p>
      <w:pPr>
        <w:pStyle w:val="ListParagraph"/>
        <w:numPr>
          <w:ilvl w:val="0"/>
          <w:numId w:val="2"/>
        </w:numPr>
      </w:pPr>
      <w:r>
        <w:rPr>
          <w:b/>
          <w:bCs/>
        </w:rPr>
        <w:t xml:space="preserve">In Progress </w:t>
      </w:r>
      <w:r>
        <w:t xml:space="preserve">- Blue spinner, actively processing</w:t>
      </w:r>
    </w:p>
    <w:p>
      <w:pPr>
        <w:pStyle w:val="ListParagraph"/>
        <w:numPr>
          <w:ilvl w:val="0"/>
          <w:numId w:val="2"/>
        </w:numPr>
      </w:pPr>
      <w:r>
        <w:rPr>
          <w:b/>
          <w:bCs/>
        </w:rPr>
        <w:t xml:space="preserve">Complete </w:t>
      </w:r>
      <w:r>
        <w:t xml:space="preserve">- Green checkmark, successfully finished</w:t>
      </w:r>
    </w:p>
    <w:p>
      <w:pPr>
        <w:pStyle w:val="ListParagraph"/>
        <w:numPr>
          <w:ilvl w:val="0"/>
          <w:numId w:val="2"/>
        </w:numPr>
      </w:pPr>
      <w:r>
        <w:rPr>
          <w:b/>
          <w:bCs/>
        </w:rPr>
        <w:t xml:space="preserve">Error </w:t>
      </w:r>
      <w:r>
        <w:t xml:space="preserve">- Red X icon, failed with error</w:t>
      </w:r>
    </w:p>
    <w:p>
      <w:pPr>
        <w:pStyle w:val="Heading3"/>
      </w:pPr>
      <w:r>
        <w:t xml:space="preserve">"Invoke on Demand" Button</w:t>
      </w:r>
    </w:p>
    <w:p>
      <w:pPr>
        <w:spacing w:after="200"/>
      </w:pPr>
      <w:r>
        <w:t xml:space="preserve">Located next to the Exception Comparison row. Allows manual trigger of the comparison agent when automatic processing isn't desired.</w:t>
      </w:r>
    </w:p>
    <w:p>
      <w:pPr>
        <w:pStyle w:val="Heading2"/>
      </w:pPr>
      <w:r>
        <w:t xml:space="preserve">2.5 Result Section</w:t>
      </w:r>
    </w:p>
    <w:p>
      <w:pPr>
        <w:spacing w:after="100"/>
      </w:pPr>
      <w:r>
        <w:t xml:space="preserve">Large text area displaying the final matching result:</w:t>
      </w:r>
    </w:p>
    <w:p>
      <w:pPr>
        <w:pStyle w:val="ListParagraph"/>
        <w:numPr>
          <w:ilvl w:val="0"/>
          <w:numId w:val="2"/>
        </w:numPr>
      </w:pPr>
      <w:r>
        <w:t xml:space="preserve">Match Status: MATCHED / MISMATCHED / PARTIAL MATCH</w:t>
      </w:r>
    </w:p>
    <w:p>
      <w:pPr>
        <w:pStyle w:val="ListParagraph"/>
        <w:numPr>
          <w:ilvl w:val="0"/>
          <w:numId w:val="2"/>
        </w:numPr>
      </w:pPr>
      <w:r>
        <w:t xml:space="preserve">Comparison summary table (side-by-side field comparison)</w:t>
      </w:r>
    </w:p>
    <w:p>
      <w:pPr>
        <w:pStyle w:val="ListParagraph"/>
        <w:numPr>
          <w:ilvl w:val="0"/>
          <w:numId w:val="2"/>
        </w:numPr>
      </w:pPr>
      <w:r>
        <w:t xml:space="preserve">Confidence score percentage</w:t>
      </w:r>
    </w:p>
    <w:p>
      <w:pPr>
        <w:pStyle w:val="ListParagraph"/>
        <w:numPr>
          <w:ilvl w:val="0"/>
          <w:numId w:val="2"/>
        </w:numPr>
      </w:pPr>
      <w:r>
        <w:t xml:space="preserve">Timestamp of completion</w:t>
      </w:r>
    </w:p>
    <w:p>
      <w:pPr>
        <w:pStyle w:val="Heading2"/>
      </w:pPr>
      <w:r>
        <w:t xml:space="preserve">2.6 Exception Section</w:t>
      </w:r>
    </w:p>
    <w:p>
      <w:pPr>
        <w:spacing w:after="200"/>
      </w:pPr>
      <w:r>
        <w:t xml:space="preserve">Displays any errors, warnings, or exceptions from the agent processing. Format: "Message - Anything from this Agent" showing the agent name and detailed error message.</w:t>
      </w:r>
    </w:p>
    <w:p>
      <w:pPr>
        <w:pStyle w:val="Heading1"/>
      </w:pPr>
      <w:r>
        <w:t xml:space="preserve">3. Technical Specifications</w:t>
      </w:r>
    </w:p>
    <w:p>
      <w:pPr>
        <w:pStyle w:val="Heading2"/>
      </w:pPr>
      <w:r>
        <w:t xml:space="preserve">3.1 Frontend Stack</w:t>
      </w:r>
    </w:p>
    <w:p>
      <w:pPr>
        <w:pStyle w:val="ListParagraph"/>
        <w:numPr>
          <w:ilvl w:val="0"/>
          <w:numId w:val="2"/>
        </w:numPr>
      </w:pPr>
      <w:r>
        <w:t xml:space="preserve">Framework: React.js with TypeScript</w:t>
      </w:r>
    </w:p>
    <w:p>
      <w:pPr>
        <w:pStyle w:val="ListParagraph"/>
        <w:numPr>
          <w:ilvl w:val="0"/>
          <w:numId w:val="2"/>
        </w:numPr>
      </w:pPr>
      <w:r>
        <w:t xml:space="preserve">UI Library: AWS Amplify UI or Material-UI with AWS theme</w:t>
      </w:r>
    </w:p>
    <w:p>
      <w:pPr>
        <w:pStyle w:val="ListParagraph"/>
        <w:numPr>
          <w:ilvl w:val="0"/>
          <w:numId w:val="2"/>
        </w:numPr>
      </w:pPr>
      <w:r>
        <w:t xml:space="preserve">State Management: React Context or Redux Toolkit</w:t>
      </w:r>
    </w:p>
    <w:p>
      <w:pPr>
        <w:pStyle w:val="ListParagraph"/>
        <w:numPr>
          <w:ilvl w:val="0"/>
          <w:numId w:val="2"/>
        </w:numPr>
      </w:pPr>
      <w:r>
        <w:t xml:space="preserve">File Upload: react-dropzone for drag-and-drop</w:t>
      </w:r>
    </w:p>
    <w:p>
      <w:pPr>
        <w:pStyle w:val="ListParagraph"/>
        <w:numPr>
          <w:ilvl w:val="0"/>
          <w:numId w:val="2"/>
        </w:numPr>
      </w:pPr>
      <w:r>
        <w:t xml:space="preserve">Styling: Tailwind CSS or styled-components</w:t>
      </w:r>
    </w:p>
    <w:p>
      <w:pPr>
        <w:pStyle w:val="Heading2"/>
      </w:pPr>
      <w:r>
        <w:t xml:space="preserve">3.2 Backend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Endpoint</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Method</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/api/upload</w:t>
            </w:r>
          </w:p>
        </w:tc>
        <w:tc>
          <w:tcPr>
            <w:tcW w:type="dxa" w:w="3510"/>
            <w:tcBorders>
              <w:top w:val="single" w:color="CCCCCC" w:sz="1"/>
              <w:left w:val="single" w:color="CCCCCC" w:sz="1"/>
              <w:bottom w:val="single" w:color="CCCCCC" w:sz="1"/>
              <w:right w:val="single" w:color="CCCCCC" w:sz="1"/>
            </w:tcBorders>
          </w:tcPr>
          <w:p>
            <w:r>
              <w:t xml:space="preserve">POST</w:t>
            </w:r>
          </w:p>
        </w:tc>
        <w:tc>
          <w:tcPr>
            <w:tcW w:type="dxa" w:w="3510"/>
            <w:tcBorders>
              <w:top w:val="single" w:color="CCCCCC" w:sz="1"/>
              <w:left w:val="single" w:color="CCCCCC" w:sz="1"/>
              <w:bottom w:val="single" w:color="CCCCCC" w:sz="1"/>
              <w:right w:val="single" w:color="CCCCCC" w:sz="1"/>
            </w:tcBorders>
          </w:tcPr>
          <w:p>
            <w:r>
              <w:t xml:space="preserve">Upload files to S3 via presigned URL</w:t>
            </w:r>
          </w:p>
        </w:tc>
      </w:tr>
      <w:tr>
        <w:tc>
          <w:tcPr>
            <w:tcW w:type="dxa" w:w="234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/api/workflow</w:t>
            </w:r>
          </w:p>
        </w:tc>
        <w:tc>
          <w:tcPr>
            <w:tcW w:type="dxa" w:w="3510"/>
            <w:tcBorders>
              <w:top w:val="single" w:color="CCCCCC" w:sz="1"/>
              <w:left w:val="single" w:color="CCCCCC" w:sz="1"/>
              <w:bottom w:val="single" w:color="CCCCCC" w:sz="1"/>
              <w:right w:val="single" w:color="CCCCCC" w:sz="1"/>
            </w:tcBorders>
          </w:tcPr>
          <w:p>
            <w:r>
              <w:t xml:space="preserve">POST</w:t>
            </w:r>
          </w:p>
        </w:tc>
        <w:tc>
          <w:tcPr>
            <w:tcW w:type="dxa" w:w="3510"/>
            <w:tcBorders>
              <w:top w:val="single" w:color="CCCCCC" w:sz="1"/>
              <w:left w:val="single" w:color="CCCCCC" w:sz="1"/>
              <w:bottom w:val="single" w:color="CCCCCC" w:sz="1"/>
              <w:right w:val="single" w:color="CCCCCC" w:sz="1"/>
            </w:tcBorders>
          </w:tcPr>
          <w:p>
            <w:r>
              <w:t xml:space="preserve">Initialize new workflow/session</w:t>
            </w:r>
          </w:p>
        </w:tc>
      </w:tr>
      <w:tr>
        <w:tc>
          <w:tcPr>
            <w:tcW w:type="dxa" w:w="234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/api/invoke</w:t>
            </w:r>
          </w:p>
        </w:tc>
        <w:tc>
          <w:tcPr>
            <w:tcW w:type="dxa" w:w="3510"/>
            <w:tcBorders>
              <w:top w:val="single" w:color="CCCCCC" w:sz="1"/>
              <w:left w:val="single" w:color="CCCCCC" w:sz="1"/>
              <w:bottom w:val="single" w:color="CCCCCC" w:sz="1"/>
              <w:right w:val="single" w:color="CCCCCC" w:sz="1"/>
            </w:tcBorders>
          </w:tcPr>
          <w:p>
            <w:r>
              <w:t xml:space="preserve">POST</w:t>
            </w:r>
          </w:p>
        </w:tc>
        <w:tc>
          <w:tcPr>
            <w:tcW w:type="dxa" w:w="3510"/>
            <w:tcBorders>
              <w:top w:val="single" w:color="CCCCCC" w:sz="1"/>
              <w:left w:val="single" w:color="CCCCCC" w:sz="1"/>
              <w:bottom w:val="single" w:color="CCCCCC" w:sz="1"/>
              <w:right w:val="single" w:color="CCCCCC" w:sz="1"/>
            </w:tcBorders>
          </w:tcPr>
          <w:p>
            <w:r>
              <w:t xml:space="preserve">Invoke Bedrock agent manually</w:t>
            </w:r>
          </w:p>
        </w:tc>
      </w:tr>
      <w:tr>
        <w:tc>
          <w:tcPr>
            <w:tcW w:type="dxa" w:w="234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/api/status</w:t>
            </w:r>
          </w:p>
        </w:tc>
        <w:tc>
          <w:tcPr>
            <w:tcW w:type="dxa" w:w="3510"/>
            <w:tcBorders>
              <w:top w:val="single" w:color="CCCCCC" w:sz="1"/>
              <w:left w:val="single" w:color="CCCCCC" w:sz="1"/>
              <w:bottom w:val="single" w:color="CCCCCC" w:sz="1"/>
              <w:right w:val="single" w:color="CCCCCC" w:sz="1"/>
            </w:tcBorders>
          </w:tcPr>
          <w:p>
            <w:r>
              <w:t xml:space="preserve">GET (WebSocket)</w:t>
            </w:r>
          </w:p>
        </w:tc>
        <w:tc>
          <w:tcPr>
            <w:tcW w:type="dxa" w:w="3510"/>
            <w:tcBorders>
              <w:top w:val="single" w:color="CCCCCC" w:sz="1"/>
              <w:left w:val="single" w:color="CCCCCC" w:sz="1"/>
              <w:bottom w:val="single" w:color="CCCCCC" w:sz="1"/>
              <w:right w:val="single" w:color="CCCCCC" w:sz="1"/>
            </w:tcBorders>
          </w:tcPr>
          <w:p>
            <w:r>
              <w:t xml:space="preserve">Real-time processing status updates</w:t>
            </w:r>
          </w:p>
        </w:tc>
      </w:tr>
      <w:tr>
        <w:tc>
          <w:tcPr>
            <w:tcW w:type="dxa" w:w="234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/api/result</w:t>
            </w:r>
          </w:p>
        </w:tc>
        <w:tc>
          <w:tcPr>
            <w:tcW w:type="dxa" w:w="3510"/>
            <w:tcBorders>
              <w:top w:val="single" w:color="CCCCCC" w:sz="1"/>
              <w:left w:val="single" w:color="CCCCCC" w:sz="1"/>
              <w:bottom w:val="single" w:color="CCCCCC" w:sz="1"/>
              <w:right w:val="single" w:color="CCCCCC" w:sz="1"/>
            </w:tcBorders>
          </w:tcPr>
          <w:p>
            <w:r>
              <w:t xml:space="preserve">GET</w:t>
            </w:r>
          </w:p>
        </w:tc>
        <w:tc>
          <w:tcPr>
            <w:tcW w:type="dxa" w:w="3510"/>
            <w:tcBorders>
              <w:top w:val="single" w:color="CCCCCC" w:sz="1"/>
              <w:left w:val="single" w:color="CCCCCC" w:sz="1"/>
              <w:bottom w:val="single" w:color="CCCCCC" w:sz="1"/>
              <w:right w:val="single" w:color="CCCCCC" w:sz="1"/>
            </w:tcBorders>
          </w:tcPr>
          <w:p>
            <w:r>
              <w:t xml:space="preserve">Retrieve final matching result</w:t>
            </w:r>
          </w:p>
        </w:tc>
      </w:tr>
    </w:tbl>
    <w:p>
      <w:pPr>
        <w:pStyle w:val="Heading2"/>
      </w:pPr>
      <w:r>
        <w:t xml:space="preserve">3.3 AWS Services Integration</w:t>
      </w:r>
    </w:p>
    <w:p>
      <w:pPr>
        <w:pStyle w:val="ListParagraph"/>
        <w:numPr>
          <w:ilvl w:val="0"/>
          <w:numId w:val="2"/>
        </w:numPr>
      </w:pPr>
      <w:r>
        <w:rPr>
          <w:b/>
          <w:bCs/>
        </w:rPr>
        <w:t xml:space="preserve">Amazon S3: </w:t>
      </w:r>
      <w:r>
        <w:t xml:space="preserve">Document storage (separate prefixes for bank/counterparty)</w:t>
      </w:r>
    </w:p>
    <w:p>
      <w:pPr>
        <w:pStyle w:val="ListParagraph"/>
        <w:numPr>
          <w:ilvl w:val="0"/>
          <w:numId w:val="2"/>
        </w:numPr>
      </w:pPr>
      <w:r>
        <w:rPr>
          <w:b/>
          <w:bCs/>
        </w:rPr>
        <w:t xml:space="preserve">Amazon Bedrock AgentCore: </w:t>
      </w:r>
      <w:r>
        <w:t xml:space="preserve">AI agent orchestration</w:t>
      </w:r>
    </w:p>
    <w:p>
      <w:pPr>
        <w:pStyle w:val="ListParagraph"/>
        <w:numPr>
          <w:ilvl w:val="0"/>
          <w:numId w:val="2"/>
        </w:numPr>
      </w:pPr>
      <w:r>
        <w:rPr>
          <w:b/>
          <w:bCs/>
        </w:rPr>
        <w:t xml:space="preserve">Amazon Textract: </w:t>
      </w:r>
      <w:r>
        <w:t xml:space="preserve">PDF/document text extraction</w:t>
      </w:r>
    </w:p>
    <w:p>
      <w:pPr>
        <w:pStyle w:val="ListParagraph"/>
        <w:numPr>
          <w:ilvl w:val="0"/>
          <w:numId w:val="2"/>
        </w:numPr>
      </w:pPr>
      <w:r>
        <w:rPr>
          <w:b/>
          <w:bCs/>
        </w:rPr>
        <w:t xml:space="preserve">Amazon API Gateway: </w:t>
      </w:r>
      <w:r>
        <w:t xml:space="preserve">REST API endpoints</w:t>
      </w:r>
    </w:p>
    <w:p>
      <w:pPr>
        <w:pStyle w:val="ListParagraph"/>
        <w:numPr>
          <w:ilvl w:val="0"/>
          <w:numId w:val="2"/>
        </w:numPr>
      </w:pPr>
      <w:r>
        <w:rPr>
          <w:b/>
          <w:bCs/>
        </w:rPr>
        <w:t xml:space="preserve">AWS Lambda: </w:t>
      </w:r>
      <w:r>
        <w:t xml:space="preserve">Serverless compute for business logic</w:t>
      </w:r>
    </w:p>
    <w:p>
      <w:pPr>
        <w:pStyle w:val="ListParagraph"/>
        <w:numPr>
          <w:ilvl w:val="0"/>
          <w:numId w:val="2"/>
        </w:numPr>
      </w:pPr>
      <w:r>
        <w:rPr>
          <w:b/>
          <w:bCs/>
        </w:rPr>
        <w:t xml:space="preserve">Amazon DynamoDB: </w:t>
      </w:r>
      <w:r>
        <w:t xml:space="preserve">Workflow state persistence</w:t>
      </w:r>
    </w:p>
    <w:p>
      <w:pPr>
        <w:pStyle w:val="ListParagraph"/>
        <w:numPr>
          <w:ilvl w:val="0"/>
          <w:numId w:val="2"/>
        </w:numPr>
      </w:pPr>
      <w:r>
        <w:rPr>
          <w:b/>
          <w:bCs/>
        </w:rPr>
        <w:t xml:space="preserve">Amazon CloudWatch: </w:t>
      </w:r>
      <w:r>
        <w:t xml:space="preserve">Logging and monitoring</w:t>
      </w:r>
    </w:p>
    <w:p>
      <w:pPr>
        <w:pStyle w:val="ListParagraph"/>
        <w:numPr>
          <w:ilvl w:val="0"/>
          <w:numId w:val="2"/>
        </w:numPr>
      </w:pPr>
      <w:r>
        <w:rPr>
          <w:b/>
          <w:bCs/>
        </w:rPr>
        <w:t xml:space="preserve">AWS X-Ray: </w:t>
      </w:r>
      <w:r>
        <w:t xml:space="preserve">Distributed tracing</w:t>
      </w:r>
    </w:p>
    <w:p>
      <w:pPr>
        <w:pStyle w:val="Heading1"/>
      </w:pPr>
      <w:r>
        <w:t xml:space="preserve">4. User Workflow</w:t>
      </w:r>
    </w:p>
    <w:p>
      <w:pPr>
        <w:pStyle w:val="ListParagraph"/>
        <w:numPr>
          <w:ilvl w:val="0"/>
          <w:numId w:val="3"/>
        </w:numPr>
      </w:pPr>
      <w:r>
        <w:t xml:space="preserve">User uploads Bank trade confirmation PDF</w:t>
      </w:r>
    </w:p>
    <w:p>
      <w:pPr>
        <w:pStyle w:val="ListParagraph"/>
        <w:numPr>
          <w:ilvl w:val="0"/>
          <w:numId w:val="3"/>
        </w:numPr>
      </w:pPr>
      <w:r>
        <w:t xml:space="preserve">User uploads Counterparty trade confirmation PDF</w:t>
      </w:r>
    </w:p>
    <w:p>
      <w:pPr>
        <w:pStyle w:val="ListParagraph"/>
        <w:numPr>
          <w:ilvl w:val="0"/>
          <w:numId w:val="3"/>
        </w:numPr>
      </w:pPr>
      <w:r>
        <w:t xml:space="preserve">System generates Workflow ID, Session ID, and Trace ID</w:t>
      </w:r>
    </w:p>
    <w:p>
      <w:pPr>
        <w:pStyle w:val="ListParagraph"/>
        <w:numPr>
          <w:ilvl w:val="0"/>
          <w:numId w:val="3"/>
        </w:numPr>
      </w:pPr>
      <w:r>
        <w:t xml:space="preserve">S3 upload status updates to "Complete" with URIs</w:t>
      </w:r>
    </w:p>
    <w:p>
      <w:pPr>
        <w:pStyle w:val="ListParagraph"/>
        <w:numPr>
          <w:ilvl w:val="0"/>
          <w:numId w:val="3"/>
        </w:numPr>
      </w:pPr>
      <w:r>
        <w:t xml:space="preserve">PDF Extraction agent processes documents</w:t>
      </w:r>
    </w:p>
    <w:p>
      <w:pPr>
        <w:pStyle w:val="ListParagraph"/>
        <w:numPr>
          <w:ilvl w:val="0"/>
          <w:numId w:val="3"/>
        </w:numPr>
      </w:pPr>
      <w:r>
        <w:t xml:space="preserve">Trade Entries agent parses structured data</w:t>
      </w:r>
    </w:p>
    <w:p>
      <w:pPr>
        <w:pStyle w:val="ListParagraph"/>
        <w:numPr>
          <w:ilvl w:val="0"/>
          <w:numId w:val="3"/>
        </w:numPr>
      </w:pPr>
      <w:r>
        <w:t xml:space="preserve">User clicks "Invoke on Demand" (or automatic trigger)</w:t>
      </w:r>
    </w:p>
    <w:p>
      <w:pPr>
        <w:pStyle w:val="ListParagraph"/>
        <w:numPr>
          <w:ilvl w:val="0"/>
          <w:numId w:val="3"/>
        </w:numPr>
      </w:pPr>
      <w:r>
        <w:t xml:space="preserve">Exception Comparison agent runs matching logic</w:t>
      </w:r>
    </w:p>
    <w:p>
      <w:pPr>
        <w:pStyle w:val="ListParagraph"/>
        <w:numPr>
          <w:ilvl w:val="0"/>
          <w:numId w:val="3"/>
        </w:numPr>
      </w:pPr>
      <w:r>
        <w:t xml:space="preserve">Result displayed with match status and details</w:t>
      </w:r>
    </w:p>
    <w:p>
      <w:pPr>
        <w:pStyle w:val="ListParagraph"/>
        <w:numPr>
          <w:ilvl w:val="0"/>
          <w:numId w:val="3"/>
        </w:numPr>
      </w:pPr>
      <w:r>
        <w:t xml:space="preserve">Any exceptions/errors shown in Exception section</w:t>
      </w:r>
    </w:p>
    <w:p>
      <w:pPr>
        <w:pStyle w:val="Heading1"/>
      </w:pPr>
      <w:r>
        <w:t xml:space="preserve">5. UI Component Details</w:t>
      </w:r>
    </w:p>
    <w:p>
      <w:pPr>
        <w:pStyle w:val="Heading2"/>
      </w:pPr>
      <w:r>
        <w:t xml:space="preserve">5.1 File Upload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D" w:val="clear"/>
          </w:tcPr>
          <w:p>
            <w:r>
              <w:rPr>
                <w:b/>
                <w:bCs/>
              </w:rPr>
              <w:t xml:space="preserve">Property</w:t>
            </w:r>
          </w:p>
        </w:tc>
        <w:tc>
          <w:tcPr>
            <w:tcW w:type="dxa" w:w="6240"/>
            <w:tcBorders>
              <w:top w:val="single" w:color="CCCCCC" w:sz="1"/>
              <w:left w:val="single" w:color="CCCCCC" w:sz="1"/>
              <w:bottom w:val="single" w:color="CCCCCC" w:sz="1"/>
              <w:right w:val="single" w:color="CCCCCC" w:sz="1"/>
            </w:tcBorders>
            <w:shd w:fill="E8F4FD" w:val="clear"/>
          </w:tcPr>
          <w:p>
            <w:r>
              <w:rPr>
                <w:b/>
                <w:bCs/>
              </w:rPr>
              <w:t xml:space="preserve">Value</w:t>
            </w:r>
          </w:p>
        </w:tc>
      </w:tr>
      <w:tr>
        <w:tc>
          <w:tcPr>
            <w:tcW w:type="dxa" w:w="3120"/>
            <w:tcBorders>
              <w:top w:val="single" w:color="CCCCCC" w:sz="1"/>
              <w:left w:val="single" w:color="CCCCCC" w:sz="1"/>
              <w:bottom w:val="single" w:color="CCCCCC" w:sz="1"/>
              <w:right w:val="single" w:color="CCCCCC" w:sz="1"/>
            </w:tcBorders>
          </w:tcPr>
          <w:p>
            <w:r>
              <w:t xml:space="preserve">Accepted formats</w:t>
            </w:r>
          </w:p>
        </w:tc>
        <w:tc>
          <w:tcPr>
            <w:tcW w:type="dxa" w:w="6240"/>
            <w:tcBorders>
              <w:top w:val="single" w:color="CCCCCC" w:sz="1"/>
              <w:left w:val="single" w:color="CCCCCC" w:sz="1"/>
              <w:bottom w:val="single" w:color="CCCCCC" w:sz="1"/>
              <w:right w:val="single" w:color="CCCCCC" w:sz="1"/>
            </w:tcBorders>
          </w:tcPr>
          <w:p>
            <w:r>
              <w:t xml:space="preserve">.pdf, .docx</w:t>
            </w:r>
          </w:p>
        </w:tc>
      </w:tr>
      <w:tr>
        <w:tc>
          <w:tcPr>
            <w:tcW w:type="dxa" w:w="3120"/>
            <w:tcBorders>
              <w:top w:val="single" w:color="CCCCCC" w:sz="1"/>
              <w:left w:val="single" w:color="CCCCCC" w:sz="1"/>
              <w:bottom w:val="single" w:color="CCCCCC" w:sz="1"/>
              <w:right w:val="single" w:color="CCCCCC" w:sz="1"/>
            </w:tcBorders>
          </w:tcPr>
          <w:p>
            <w:r>
              <w:t xml:space="preserve">Max file size</w:t>
            </w:r>
          </w:p>
        </w:tc>
        <w:tc>
          <w:tcPr>
            <w:tcW w:type="dxa" w:w="6240"/>
            <w:tcBorders>
              <w:top w:val="single" w:color="CCCCCC" w:sz="1"/>
              <w:left w:val="single" w:color="CCCCCC" w:sz="1"/>
              <w:bottom w:val="single" w:color="CCCCCC" w:sz="1"/>
              <w:right w:val="single" w:color="CCCCCC" w:sz="1"/>
            </w:tcBorders>
          </w:tcPr>
          <w:p>
            <w:r>
              <w:t xml:space="preserve">10 MB</w:t>
            </w:r>
          </w:p>
        </w:tc>
      </w:tr>
      <w:tr>
        <w:tc>
          <w:tcPr>
            <w:tcW w:type="dxa" w:w="3120"/>
            <w:tcBorders>
              <w:top w:val="single" w:color="CCCCCC" w:sz="1"/>
              <w:left w:val="single" w:color="CCCCCC" w:sz="1"/>
              <w:bottom w:val="single" w:color="CCCCCC" w:sz="1"/>
              <w:right w:val="single" w:color="CCCCCC" w:sz="1"/>
            </w:tcBorders>
          </w:tcPr>
          <w:p>
            <w:r>
              <w:t xml:space="preserve">Upload indicator</w:t>
            </w:r>
          </w:p>
        </w:tc>
        <w:tc>
          <w:tcPr>
            <w:tcW w:type="dxa" w:w="6240"/>
            <w:tcBorders>
              <w:top w:val="single" w:color="CCCCCC" w:sz="1"/>
              <w:left w:val="single" w:color="CCCCCC" w:sz="1"/>
              <w:bottom w:val="single" w:color="CCCCCC" w:sz="1"/>
              <w:right w:val="single" w:color="CCCCCC" w:sz="1"/>
            </w:tcBorders>
          </w:tcPr>
          <w:p>
            <w:r>
              <w:t xml:space="preserve">Progress bar with percentage</w:t>
            </w:r>
          </w:p>
        </w:tc>
      </w:tr>
      <w:tr>
        <w:tc>
          <w:tcPr>
            <w:tcW w:type="dxa" w:w="3120"/>
            <w:tcBorders>
              <w:top w:val="single" w:color="CCCCCC" w:sz="1"/>
              <w:left w:val="single" w:color="CCCCCC" w:sz="1"/>
              <w:bottom w:val="single" w:color="CCCCCC" w:sz="1"/>
              <w:right w:val="single" w:color="CCCCCC" w:sz="1"/>
            </w:tcBorders>
          </w:tcPr>
          <w:p>
            <w:r>
              <w:t xml:space="preserve">Success state</w:t>
            </w:r>
          </w:p>
        </w:tc>
        <w:tc>
          <w:tcPr>
            <w:tcW w:type="dxa" w:w="6240"/>
            <w:tcBorders>
              <w:top w:val="single" w:color="CCCCCC" w:sz="1"/>
              <w:left w:val="single" w:color="CCCCCC" w:sz="1"/>
              <w:bottom w:val="single" w:color="CCCCCC" w:sz="1"/>
              <w:right w:val="single" w:color="CCCCCC" w:sz="1"/>
            </w:tcBorders>
          </w:tcPr>
          <w:p>
            <w:r>
              <w:t xml:space="preserve">Green border, checkmark, filename displayed</w:t>
            </w:r>
          </w:p>
        </w:tc>
      </w:tr>
      <w:tr>
        <w:tc>
          <w:tcPr>
            <w:tcW w:type="dxa" w:w="3120"/>
            <w:tcBorders>
              <w:top w:val="single" w:color="CCCCCC" w:sz="1"/>
              <w:left w:val="single" w:color="CCCCCC" w:sz="1"/>
              <w:bottom w:val="single" w:color="CCCCCC" w:sz="1"/>
              <w:right w:val="single" w:color="CCCCCC" w:sz="1"/>
            </w:tcBorders>
          </w:tcPr>
          <w:p>
            <w:r>
              <w:t xml:space="preserve">Error state</w:t>
            </w:r>
          </w:p>
        </w:tc>
        <w:tc>
          <w:tcPr>
            <w:tcW w:type="dxa" w:w="6240"/>
            <w:tcBorders>
              <w:top w:val="single" w:color="CCCCCC" w:sz="1"/>
              <w:left w:val="single" w:color="CCCCCC" w:sz="1"/>
              <w:bottom w:val="single" w:color="CCCCCC" w:sz="1"/>
              <w:right w:val="single" w:color="CCCCCC" w:sz="1"/>
            </w:tcBorders>
          </w:tcPr>
          <w:p>
            <w:r>
              <w:t xml:space="preserve">Red border, error message below</w:t>
            </w:r>
          </w:p>
        </w:tc>
      </w:tr>
    </w:tbl>
    <w:p>
      <w:pPr>
        <w:pStyle w:val="Heading2"/>
      </w:pPr>
      <w:r>
        <w:t xml:space="preserve">5.2 Status Indicator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State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Icon</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Color</w:t>
            </w:r>
          </w:p>
        </w:tc>
      </w:tr>
      <w:tr>
        <w:tc>
          <w:tcPr>
            <w:tcW w:type="dxa" w:w="2340"/>
            <w:tcBorders>
              <w:top w:val="single" w:color="CCCCCC" w:sz="1"/>
              <w:left w:val="single" w:color="CCCCCC" w:sz="1"/>
              <w:bottom w:val="single" w:color="CCCCCC" w:sz="1"/>
              <w:right w:val="single" w:color="CCCCCC" w:sz="1"/>
            </w:tcBorders>
          </w:tcPr>
          <w:p>
            <w:r>
              <w:t xml:space="preserve">Pending</w:t>
            </w:r>
          </w:p>
        </w:tc>
        <w:tc>
          <w:tcPr>
            <w:tcW w:type="dxa" w:w="2340"/>
            <w:tcBorders>
              <w:top w:val="single" w:color="CCCCCC" w:sz="1"/>
              <w:left w:val="single" w:color="CCCCCC" w:sz="1"/>
              <w:bottom w:val="single" w:color="CCCCCC" w:sz="1"/>
              <w:right w:val="single" w:color="CCCCCC" w:sz="1"/>
            </w:tcBorders>
          </w:tcPr>
          <w:p>
            <w:r>
              <w:t xml:space="preserve">Circle outline</w:t>
            </w:r>
          </w:p>
        </w:tc>
        <w:tc>
          <w:tcPr>
            <w:tcW w:type="dxa" w:w="4680"/>
            <w:tcBorders>
              <w:top w:val="single" w:color="CCCCCC" w:sz="1"/>
              <w:left w:val="single" w:color="CCCCCC" w:sz="1"/>
              <w:bottom w:val="single" w:color="CCCCCC" w:sz="1"/>
              <w:right w:val="single" w:color="CCCCCC" w:sz="1"/>
            </w:tcBorders>
          </w:tcPr>
          <w:p>
            <w:r>
              <w:t xml:space="preserve">Gray (#9CA3AF)</w:t>
            </w:r>
          </w:p>
        </w:tc>
      </w:tr>
      <w:tr>
        <w:tc>
          <w:tcPr>
            <w:tcW w:type="dxa" w:w="2340"/>
            <w:tcBorders>
              <w:top w:val="single" w:color="CCCCCC" w:sz="1"/>
              <w:left w:val="single" w:color="CCCCCC" w:sz="1"/>
              <w:bottom w:val="single" w:color="CCCCCC" w:sz="1"/>
              <w:right w:val="single" w:color="CCCCCC" w:sz="1"/>
            </w:tcBorders>
          </w:tcPr>
          <w:p>
            <w:r>
              <w:t xml:space="preserve">In Progress</w:t>
            </w:r>
          </w:p>
        </w:tc>
        <w:tc>
          <w:tcPr>
            <w:tcW w:type="dxa" w:w="2340"/>
            <w:tcBorders>
              <w:top w:val="single" w:color="CCCCCC" w:sz="1"/>
              <w:left w:val="single" w:color="CCCCCC" w:sz="1"/>
              <w:bottom w:val="single" w:color="CCCCCC" w:sz="1"/>
              <w:right w:val="single" w:color="CCCCCC" w:sz="1"/>
            </w:tcBorders>
          </w:tcPr>
          <w:p>
            <w:r>
              <w:t xml:space="preserve">Spinning loader</w:t>
            </w:r>
          </w:p>
        </w:tc>
        <w:tc>
          <w:tcPr>
            <w:tcW w:type="dxa" w:w="4680"/>
            <w:tcBorders>
              <w:top w:val="single" w:color="CCCCCC" w:sz="1"/>
              <w:left w:val="single" w:color="CCCCCC" w:sz="1"/>
              <w:bottom w:val="single" w:color="CCCCCC" w:sz="1"/>
              <w:right w:val="single" w:color="CCCCCC" w:sz="1"/>
            </w:tcBorders>
          </w:tcPr>
          <w:p>
            <w:r>
              <w:t xml:space="preserve">AWS Blue (#0972D3)</w:t>
            </w:r>
          </w:p>
        </w:tc>
      </w:tr>
      <w:tr>
        <w:tc>
          <w:tcPr>
            <w:tcW w:type="dxa" w:w="2340"/>
            <w:tcBorders>
              <w:top w:val="single" w:color="CCCCCC" w:sz="1"/>
              <w:left w:val="single" w:color="CCCCCC" w:sz="1"/>
              <w:bottom w:val="single" w:color="CCCCCC" w:sz="1"/>
              <w:right w:val="single" w:color="CCCCCC" w:sz="1"/>
            </w:tcBorders>
          </w:tcPr>
          <w:p>
            <w:r>
              <w:t xml:space="preserve">Complete</w:t>
            </w:r>
          </w:p>
        </w:tc>
        <w:tc>
          <w:tcPr>
            <w:tcW w:type="dxa" w:w="2340"/>
            <w:tcBorders>
              <w:top w:val="single" w:color="CCCCCC" w:sz="1"/>
              <w:left w:val="single" w:color="CCCCCC" w:sz="1"/>
              <w:bottom w:val="single" w:color="CCCCCC" w:sz="1"/>
              <w:right w:val="single" w:color="CCCCCC" w:sz="1"/>
            </w:tcBorders>
          </w:tcPr>
          <w:p>
            <w:r>
              <w:t xml:space="preserve">Checkmark</w:t>
            </w:r>
          </w:p>
        </w:tc>
        <w:tc>
          <w:tcPr>
            <w:tcW w:type="dxa" w:w="4680"/>
            <w:tcBorders>
              <w:top w:val="single" w:color="CCCCCC" w:sz="1"/>
              <w:left w:val="single" w:color="CCCCCC" w:sz="1"/>
              <w:bottom w:val="single" w:color="CCCCCC" w:sz="1"/>
              <w:right w:val="single" w:color="CCCCCC" w:sz="1"/>
            </w:tcBorders>
          </w:tcPr>
          <w:p>
            <w:r>
              <w:t xml:space="preserve">Green (#10B981)</w:t>
            </w:r>
          </w:p>
        </w:tc>
      </w:tr>
      <w:tr>
        <w:tc>
          <w:tcPr>
            <w:tcW w:type="dxa" w:w="2340"/>
            <w:tcBorders>
              <w:top w:val="single" w:color="CCCCCC" w:sz="1"/>
              <w:left w:val="single" w:color="CCCCCC" w:sz="1"/>
              <w:bottom w:val="single" w:color="CCCCCC" w:sz="1"/>
              <w:right w:val="single" w:color="CCCCCC" w:sz="1"/>
            </w:tcBorders>
          </w:tcPr>
          <w:p>
            <w:r>
              <w:t xml:space="preserve">Error</w:t>
            </w:r>
          </w:p>
        </w:tc>
        <w:tc>
          <w:tcPr>
            <w:tcW w:type="dxa" w:w="2340"/>
            <w:tcBorders>
              <w:top w:val="single" w:color="CCCCCC" w:sz="1"/>
              <w:left w:val="single" w:color="CCCCCC" w:sz="1"/>
              <w:bottom w:val="single" w:color="CCCCCC" w:sz="1"/>
              <w:right w:val="single" w:color="CCCCCC" w:sz="1"/>
            </w:tcBorders>
          </w:tcPr>
          <w:p>
            <w:r>
              <w:t xml:space="preserve">X mark</w:t>
            </w:r>
          </w:p>
        </w:tc>
        <w:tc>
          <w:tcPr>
            <w:tcW w:type="dxa" w:w="4680"/>
            <w:tcBorders>
              <w:top w:val="single" w:color="CCCCCC" w:sz="1"/>
              <w:left w:val="single" w:color="CCCCCC" w:sz="1"/>
              <w:bottom w:val="single" w:color="CCCCCC" w:sz="1"/>
              <w:right w:val="single" w:color="CCCCCC" w:sz="1"/>
            </w:tcBorders>
          </w:tcPr>
          <w:p>
            <w:r>
              <w:t xml:space="preserve">Red (#EF4444)</w:t>
            </w:r>
          </w:p>
        </w:tc>
      </w:tr>
    </w:tbl>
    <w:p>
      <w:pPr>
        <w:pStyle w:val="Heading1"/>
      </w:pPr>
      <w:r>
        <w:t xml:space="preserve">6. Responsive Design Requirements</w:t>
      </w:r>
    </w:p>
    <w:p>
      <w:pPr>
        <w:pStyle w:val="ListParagraph"/>
        <w:numPr>
          <w:ilvl w:val="0"/>
          <w:numId w:val="2"/>
        </w:numPr>
      </w:pPr>
      <w:r>
        <w:rPr>
          <w:b/>
          <w:bCs/>
        </w:rPr>
        <w:t xml:space="preserve">Desktop (1200px+): </w:t>
      </w:r>
      <w:r>
        <w:t xml:space="preserve">Full side-by-side layout as wireframed</w:t>
      </w:r>
    </w:p>
    <w:p>
      <w:pPr>
        <w:pStyle w:val="ListParagraph"/>
        <w:numPr>
          <w:ilvl w:val="0"/>
          <w:numId w:val="2"/>
        </w:numPr>
      </w:pPr>
      <w:r>
        <w:rPr>
          <w:b/>
          <w:bCs/>
        </w:rPr>
        <w:t xml:space="preserve">Tablet (768-1199px): </w:t>
      </w:r>
      <w:r>
        <w:t xml:space="preserve">Upload areas stack vertically, status panel remains horizontal</w:t>
      </w:r>
    </w:p>
    <w:p>
      <w:pPr>
        <w:pStyle w:val="ListParagraph"/>
        <w:numPr>
          <w:ilvl w:val="0"/>
          <w:numId w:val="2"/>
        </w:numPr>
      </w:pPr>
      <w:r>
        <w:rPr>
          <w:b/>
          <w:bCs/>
        </w:rPr>
        <w:t xml:space="preserve">Mobile (below 768px): </w:t>
      </w:r>
      <w:r>
        <w:t xml:space="preserve">All sections stack vertically, collapsible status panel</w:t>
      </w:r>
    </w:p>
    <w:p>
      <w:pPr>
        <w:pStyle w:val="Heading1"/>
      </w:pPr>
      <w:r>
        <w:t xml:space="preserve">7. Security Considerations</w:t>
      </w:r>
    </w:p>
    <w:p>
      <w:pPr>
        <w:pStyle w:val="ListParagraph"/>
        <w:numPr>
          <w:ilvl w:val="0"/>
          <w:numId w:val="2"/>
        </w:numPr>
      </w:pPr>
      <w:r>
        <w:t xml:space="preserve">AWS Cognito for user authentication</w:t>
      </w:r>
    </w:p>
    <w:p>
      <w:pPr>
        <w:pStyle w:val="ListParagraph"/>
        <w:numPr>
          <w:ilvl w:val="0"/>
          <w:numId w:val="2"/>
        </w:numPr>
      </w:pPr>
      <w:r>
        <w:t xml:space="preserve">S3 presigned URLs for secure file upload</w:t>
      </w:r>
    </w:p>
    <w:p>
      <w:pPr>
        <w:pStyle w:val="ListParagraph"/>
        <w:numPr>
          <w:ilvl w:val="0"/>
          <w:numId w:val="2"/>
        </w:numPr>
      </w:pPr>
      <w:r>
        <w:t xml:space="preserve">IAM roles with least-privilege access</w:t>
      </w:r>
    </w:p>
    <w:p>
      <w:pPr>
        <w:pStyle w:val="ListParagraph"/>
        <w:numPr>
          <w:ilvl w:val="0"/>
          <w:numId w:val="2"/>
        </w:numPr>
      </w:pPr>
      <w:r>
        <w:t xml:space="preserve">HTTPS/TLS encryption in transit</w:t>
      </w:r>
    </w:p>
    <w:p>
      <w:pPr>
        <w:pStyle w:val="ListParagraph"/>
        <w:numPr>
          <w:ilvl w:val="0"/>
          <w:numId w:val="2"/>
        </w:numPr>
      </w:pPr>
      <w:r>
        <w:t xml:space="preserve">S3 server-side encryption at rest</w:t>
      </w:r>
    </w:p>
    <w:p>
      <w:pPr>
        <w:pStyle w:val="ListParagraph"/>
        <w:numPr>
          <w:ilvl w:val="0"/>
          <w:numId w:val="2"/>
        </w:numPr>
      </w:pPr>
      <w:r>
        <w:t xml:space="preserve">Audit logging via CloudTrail</w:t>
      </w:r>
    </w:p>
    <w:p>
      <w:pPr>
        <w:pStyle w:val="Heading1"/>
      </w:pPr>
      <w:r>
        <w:t xml:space="preserve">8. Acceptance Criteria</w:t>
      </w:r>
    </w:p>
    <w:p>
      <w:pPr>
        <w:pStyle w:val="ListParagraph"/>
        <w:numPr>
          <w:ilvl w:val="0"/>
          <w:numId w:val="2"/>
        </w:numPr>
      </w:pPr>
      <w:r>
        <w:t xml:space="preserve">Both file upload zones functional with drag-and-drop</w:t>
      </w:r>
    </w:p>
    <w:p>
      <w:pPr>
        <w:pStyle w:val="ListParagraph"/>
        <w:numPr>
          <w:ilvl w:val="0"/>
          <w:numId w:val="2"/>
        </w:numPr>
      </w:pPr>
      <w:r>
        <w:t xml:space="preserve">Real-time status updates for all processing stages</w:t>
      </w:r>
    </w:p>
    <w:p>
      <w:pPr>
        <w:pStyle w:val="ListParagraph"/>
        <w:numPr>
          <w:ilvl w:val="0"/>
          <w:numId w:val="2"/>
        </w:numPr>
      </w:pPr>
      <w:r>
        <w:t xml:space="preserve">"Invoke on Demand" button triggers agent comparison</w:t>
      </w:r>
    </w:p>
    <w:p>
      <w:pPr>
        <w:pStyle w:val="ListParagraph"/>
        <w:numPr>
          <w:ilvl w:val="0"/>
          <w:numId w:val="2"/>
        </w:numPr>
      </w:pPr>
      <w:r>
        <w:t xml:space="preserve">Result section displays match status with details</w:t>
      </w:r>
    </w:p>
    <w:p>
      <w:pPr>
        <w:pStyle w:val="ListParagraph"/>
        <w:numPr>
          <w:ilvl w:val="0"/>
          <w:numId w:val="2"/>
        </w:numPr>
      </w:pPr>
      <w:r>
        <w:t xml:space="preserve">Exception section shows agent errors when applicable</w:t>
      </w:r>
    </w:p>
    <w:p>
      <w:pPr>
        <w:pStyle w:val="ListParagraph"/>
        <w:numPr>
          <w:ilvl w:val="0"/>
          <w:numId w:val="2"/>
        </w:numPr>
      </w:pPr>
      <w:r>
        <w:t xml:space="preserve">All workflow IDs (Workflow, Session, Trace) displayed correctly</w:t>
      </w:r>
    </w:p>
    <w:p>
      <w:pPr>
        <w:pStyle w:val="ListParagraph"/>
        <w:numPr>
          <w:ilvl w:val="0"/>
          <w:numId w:val="2"/>
        </w:numPr>
      </w:pPr>
      <w:r>
        <w:t xml:space="preserve">Responsive design works across device sizes</w:t>
      </w:r>
    </w:p>
    <w:p>
      <w:pPr>
        <w:pStyle w:val="ListParagraph"/>
        <w:numPr>
          <w:ilvl w:val="0"/>
          <w:numId w:val="2"/>
        </w:numPr>
      </w:pPr>
      <w:r>
        <w:t xml:space="preserve">AWS branding/styling consistent throughout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OTC Trade Matching System - UI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2025-12-20T10:41:18.615Z</dcterms:created>
  <dcterms:modified xsi:type="dcterms:W3CDTF">2025-12-20T10:41:18.616Z</dcterms:modified>
</cp:coreProperties>
</file>

<file path=docProps/custom.xml><?xml version="1.0" encoding="utf-8"?>
<Properties xmlns="http://schemas.openxmlformats.org/officeDocument/2006/custom-properties" xmlns:vt="http://schemas.openxmlformats.org/officeDocument/2006/docPropsVTypes"/>
</file>