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Contents</w:t>
      </w:r>
    </w:p>
    <w:p>
      <w:pPr>
        <w:ind w:left="0"/>
      </w:pPr>
      <w:r>
        <w:rPr>
          <w:b/>
          <w:sz w:val="20"/>
        </w:rPr>
        <w:t>Contents</w:t>
      </w:r>
    </w:p>
    <w:p>
      <w:pPr>
        <w:ind w:left="0"/>
      </w:pPr>
      <w:r>
        <w:rPr>
          <w:b/>
          <w:sz w:val="20"/>
        </w:rPr>
        <w:t>Helm project documents</w:t>
      </w:r>
    </w:p>
    <w:p>
      <w:pPr>
        <w:ind w:left="397"/>
      </w:pPr>
      <w:r>
        <w:rPr>
          <w:b w:val="0"/>
          <w:sz w:val="20"/>
        </w:rPr>
        <w:t>Suggested reading order</w:t>
      </w:r>
    </w:p>
    <w:p>
      <w:pPr>
        <w:ind w:left="397"/>
      </w:pPr>
      <w:r>
        <w:rPr>
          <w:b w:val="0"/>
          <w:sz w:val="20"/>
        </w:rPr>
        <w:t>Working prompts 9, 11 and 15</w:t>
      </w:r>
    </w:p>
    <w:p>
      <w:r>
        <w:br w:type="page"/>
      </w:r>
    </w:p>
    <w:p>
      <w:pPr>
        <w:pStyle w:val="Heading1"/>
      </w:pPr>
      <w:r>
        <w:t>Helm project documents</w:t>
      </w:r>
    </w:p>
    <w:p>
      <w:r>
        <w:t>These documents describe Helm end to end: what it is, how it is built, how it is run, and how to hand it over. Word copies of every document are in word/.</w:t>
      </w:r>
    </w:p>
    <w:p>
      <w:pPr>
        <w:pStyle w:val="Heading2"/>
      </w:pPr>
      <w:r>
        <w:t>Suggested reading order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#</w:t>
            </w:r>
          </w:p>
        </w:tc>
        <w:tc>
          <w:tcPr>
            <w:tcW w:type="dxa" w:w="2880"/>
          </w:tcPr>
          <w:p>
            <w:r>
              <w:t>Document</w:t>
            </w:r>
          </w:p>
        </w:tc>
        <w:tc>
          <w:tcPr>
            <w:tcW w:type="dxa" w:w="2880"/>
          </w:tcPr>
          <w:p>
            <w:r>
              <w:t>What it covers</w:t>
            </w:r>
          </w:p>
        </w:tc>
      </w:tr>
      <w:tr>
        <w:tc>
          <w:tcPr>
            <w:tcW w:type="dxa" w:w="2880"/>
          </w:tcPr>
          <w:p>
            <w:r>
              <w:t>1</w:t>
            </w:r>
          </w:p>
        </w:tc>
        <w:tc>
          <w:tcPr>
            <w:tcW w:type="dxa" w:w="2880"/>
          </w:tcPr>
          <w:p>
            <w:r>
              <w:t>PRD.md</w:t>
            </w:r>
          </w:p>
        </w:tc>
        <w:tc>
          <w:tcPr>
            <w:tcW w:type="dxa" w:w="2880"/>
          </w:tcPr>
          <w:p>
            <w:r>
              <w:t>Product requirements: users, problems, features, scope</w:t>
            </w:r>
          </w:p>
        </w:tc>
      </w:tr>
      <w:tr>
        <w:tc>
          <w:tcPr>
            <w:tcW w:type="dxa" w:w="2880"/>
          </w:tcPr>
          <w:p>
            <w:r>
              <w:t>2</w:t>
            </w:r>
          </w:p>
        </w:tc>
        <w:tc>
          <w:tcPr>
            <w:tcW w:type="dxa" w:w="2880"/>
          </w:tcPr>
          <w:p>
            <w:r>
              <w:t>DESIGN.md</w:t>
            </w:r>
          </w:p>
        </w:tc>
        <w:tc>
          <w:tcPr>
            <w:tcW w:type="dxa" w:w="2880"/>
          </w:tcPr>
          <w:p>
            <w:r>
              <w:t>Visual and UX design system: theme, layout, components</w:t>
            </w:r>
          </w:p>
        </w:tc>
      </w:tr>
      <w:tr>
        <w:tc>
          <w:tcPr>
            <w:tcW w:type="dxa" w:w="2880"/>
          </w:tcPr>
          <w:p>
            <w:r>
              <w:t>3</w:t>
            </w:r>
          </w:p>
        </w:tc>
        <w:tc>
          <w:tcPr>
            <w:tcW w:type="dxa" w:w="2880"/>
          </w:tcPr>
          <w:p>
            <w:r>
              <w:t>ARCHITECTURE.md</w:t>
            </w:r>
          </w:p>
        </w:tc>
        <w:tc>
          <w:tcPr>
            <w:tcW w:type="dxa" w:w="2880"/>
          </w:tcPr>
          <w:p>
            <w:r>
              <w:t>System architecture: front end, Supabase, edge functions, hosting</w:t>
            </w:r>
          </w:p>
        </w:tc>
      </w:tr>
      <w:tr>
        <w:tc>
          <w:tcPr>
            <w:tcW w:type="dxa" w:w="2880"/>
          </w:tcPr>
          <w:p>
            <w:r>
              <w:t>4</w:t>
            </w:r>
          </w:p>
        </w:tc>
        <w:tc>
          <w:tcPr>
            <w:tcW w:type="dxa" w:w="2880"/>
          </w:tcPr>
          <w:p>
            <w:r>
              <w:t>DATABASE.md</w:t>
            </w:r>
          </w:p>
        </w:tc>
        <w:tc>
          <w:tcPr>
            <w:tcW w:type="dxa" w:w="2880"/>
          </w:tcPr>
          <w:p>
            <w:r>
              <w:t>Tables, RLS, RPCs, migrations</w:t>
            </w:r>
          </w:p>
        </w:tc>
      </w:tr>
      <w:tr>
        <w:tc>
          <w:tcPr>
            <w:tcW w:type="dxa" w:w="2880"/>
          </w:tcPr>
          <w:p>
            <w:r>
              <w:t>5</w:t>
            </w:r>
          </w:p>
        </w:tc>
        <w:tc>
          <w:tcPr>
            <w:tcW w:type="dxa" w:w="2880"/>
          </w:tcPr>
          <w:p>
            <w:r>
              <w:t>API.md</w:t>
            </w:r>
          </w:p>
        </w:tc>
        <w:tc>
          <w:tcPr>
            <w:tcW w:type="dxa" w:w="2880"/>
          </w:tcPr>
          <w:p>
            <w:r>
              <w:t>RPCs, edge functions and client store API</w:t>
            </w:r>
          </w:p>
        </w:tc>
      </w:tr>
      <w:tr>
        <w:tc>
          <w:tcPr>
            <w:tcW w:type="dxa" w:w="2880"/>
          </w:tcPr>
          <w:p>
            <w:r>
              <w:t>6</w:t>
            </w:r>
          </w:p>
        </w:tc>
        <w:tc>
          <w:tcPr>
            <w:tcW w:type="dxa" w:w="2880"/>
          </w:tcPr>
          <w:p>
            <w:r>
              <w:t>AGENTS.md</w:t>
            </w:r>
          </w:p>
        </w:tc>
        <w:tc>
          <w:tcPr>
            <w:tcW w:type="dxa" w:w="2880"/>
          </w:tcPr>
          <w:p>
            <w:r>
              <w:t>Rules and context for AI coding agents working in the repo</w:t>
            </w:r>
          </w:p>
        </w:tc>
      </w:tr>
      <w:tr>
        <w:tc>
          <w:tcPr>
            <w:tcW w:type="dxa" w:w="2880"/>
          </w:tcPr>
          <w:p>
            <w:r>
              <w:t>7</w:t>
            </w:r>
          </w:p>
        </w:tc>
        <w:tc>
          <w:tcPr>
            <w:tcW w:type="dxa" w:w="2880"/>
          </w:tcPr>
          <w:p>
            <w:r>
              <w:t>IMPLEMENTATION-PLAN.md</w:t>
            </w:r>
          </w:p>
        </w:tc>
        <w:tc>
          <w:tcPr>
            <w:tcW w:type="dxa" w:w="2880"/>
          </w:tcPr>
          <w:p>
            <w:r>
              <w:t>What exists, what is next, phased plan</w:t>
            </w:r>
          </w:p>
        </w:tc>
      </w:tr>
      <w:tr>
        <w:tc>
          <w:tcPr>
            <w:tcW w:type="dxa" w:w="2880"/>
          </w:tcPr>
          <w:p>
            <w:r>
              <w:t>8</w:t>
            </w:r>
          </w:p>
        </w:tc>
        <w:tc>
          <w:tcPr>
            <w:tcW w:type="dxa" w:w="2880"/>
          </w:tcPr>
          <w:p>
            <w:r>
              <w:t>SETUP-AND-ENVIRONMENT.md</w:t>
            </w:r>
          </w:p>
        </w:tc>
        <w:tc>
          <w:tcPr>
            <w:tcW w:type="dxa" w:w="2880"/>
          </w:tcPr>
          <w:p>
            <w:r>
              <w:t>Local setup, environments, config and secrets</w:t>
            </w:r>
          </w:p>
        </w:tc>
      </w:tr>
      <w:tr>
        <w:tc>
          <w:tcPr>
            <w:tcW w:type="dxa" w:w="2880"/>
          </w:tcPr>
          <w:p>
            <w:r>
              <w:t>9</w:t>
            </w:r>
          </w:p>
        </w:tc>
        <w:tc>
          <w:tcPr>
            <w:tcW w:type="dxa" w:w="2880"/>
          </w:tcPr>
          <w:p>
            <w:r>
              <w:t>INTEGRATIONS.md</w:t>
            </w:r>
          </w:p>
        </w:tc>
        <w:tc>
          <w:tcPr>
            <w:tcW w:type="dxa" w:w="2880"/>
          </w:tcPr>
          <w:p>
            <w:r>
              <w:t>WhatsApp, Razorpay, email, photo render and other integrations</w:t>
            </w:r>
          </w:p>
        </w:tc>
      </w:tr>
      <w:tr>
        <w:tc>
          <w:tcPr>
            <w:tcW w:type="dxa" w:w="2880"/>
          </w:tcPr>
          <w:p>
            <w:r>
              <w:t>10</w:t>
            </w:r>
          </w:p>
        </w:tc>
        <w:tc>
          <w:tcPr>
            <w:tcW w:type="dxa" w:w="2880"/>
          </w:tcPr>
          <w:p>
            <w:r>
              <w:t>TESTING-QA.md</w:t>
            </w:r>
          </w:p>
        </w:tc>
        <w:tc>
          <w:tcPr>
            <w:tcW w:type="dxa" w:w="2880"/>
          </w:tcPr>
          <w:p>
            <w:r>
              <w:t>Test suites, CI checks, QA process</w:t>
            </w:r>
          </w:p>
        </w:tc>
      </w:tr>
      <w:tr>
        <w:tc>
          <w:tcPr>
            <w:tcW w:type="dxa" w:w="2880"/>
          </w:tcPr>
          <w:p>
            <w:r>
              <w:t>11</w:t>
            </w:r>
          </w:p>
        </w:tc>
        <w:tc>
          <w:tcPr>
            <w:tcW w:type="dxa" w:w="2880"/>
          </w:tcPr>
          <w:p>
            <w:r>
              <w:t>SECURITY.md</w:t>
            </w:r>
          </w:p>
        </w:tc>
        <w:tc>
          <w:tcPr>
            <w:tcW w:type="dxa" w:w="2880"/>
          </w:tcPr>
          <w:p>
            <w:r>
              <w:t>Security model, audits, open items</w:t>
            </w:r>
          </w:p>
        </w:tc>
      </w:tr>
      <w:tr>
        <w:tc>
          <w:tcPr>
            <w:tcW w:type="dxa" w:w="2880"/>
          </w:tcPr>
          <w:p>
            <w:r>
              <w:t>12</w:t>
            </w:r>
          </w:p>
        </w:tc>
        <w:tc>
          <w:tcPr>
            <w:tcW w:type="dxa" w:w="2880"/>
          </w:tcPr>
          <w:p>
            <w:r>
              <w:t>CODE-REVIEW.md</w:t>
            </w:r>
          </w:p>
        </w:tc>
        <w:tc>
          <w:tcPr>
            <w:tcW w:type="dxa" w:w="2880"/>
          </w:tcPr>
          <w:p>
            <w:r>
              <w:t>Code review standards and hotspots</w:t>
            </w:r>
          </w:p>
        </w:tc>
      </w:tr>
      <w:tr>
        <w:tc>
          <w:tcPr>
            <w:tcW w:type="dxa" w:w="2880"/>
          </w:tcPr>
          <w:p>
            <w:r>
              <w:t>13</w:t>
            </w:r>
          </w:p>
        </w:tc>
        <w:tc>
          <w:tcPr>
            <w:tcW w:type="dxa" w:w="2880"/>
          </w:tcPr>
          <w:p>
            <w:r>
              <w:t>DEPLOYMENT.md</w:t>
            </w:r>
          </w:p>
        </w:tc>
        <w:tc>
          <w:tcPr>
            <w:tcW w:type="dxa" w:w="2880"/>
          </w:tcPr>
          <w:p>
            <w:r>
              <w:t>How to release to staging and production</w:t>
            </w:r>
          </w:p>
        </w:tc>
      </w:tr>
      <w:tr>
        <w:tc>
          <w:tcPr>
            <w:tcW w:type="dxa" w:w="2880"/>
          </w:tcPr>
          <w:p>
            <w:r>
              <w:t>14</w:t>
            </w:r>
          </w:p>
        </w:tc>
        <w:tc>
          <w:tcPr>
            <w:tcW w:type="dxa" w:w="2880"/>
          </w:tcPr>
          <w:p>
            <w:r>
              <w:t>MONITORING.md</w:t>
            </w:r>
          </w:p>
        </w:tc>
        <w:tc>
          <w:tcPr>
            <w:tcW w:type="dxa" w:w="2880"/>
          </w:tcPr>
          <w:p>
            <w:r>
              <w:t>Logs, alerts, health checks</w:t>
            </w:r>
          </w:p>
        </w:tc>
      </w:tr>
      <w:tr>
        <w:tc>
          <w:tcPr>
            <w:tcW w:type="dxa" w:w="2880"/>
          </w:tcPr>
          <w:p>
            <w:r>
              <w:t>15</w:t>
            </w:r>
          </w:p>
        </w:tc>
        <w:tc>
          <w:tcPr>
            <w:tcW w:type="dxa" w:w="2880"/>
          </w:tcPr>
          <w:p>
            <w:r>
              <w:t>PRODUCTION-AUDIT.md</w:t>
            </w:r>
          </w:p>
        </w:tc>
        <w:tc>
          <w:tcPr>
            <w:tcW w:type="dxa" w:w="2880"/>
          </w:tcPr>
          <w:p>
            <w:r>
              <w:t>Production readiness audit and findings</w:t>
            </w:r>
          </w:p>
        </w:tc>
      </w:tr>
      <w:tr>
        <w:tc>
          <w:tcPr>
            <w:tcW w:type="dxa" w:w="2880"/>
          </w:tcPr>
          <w:p>
            <w:r>
              <w:t>16</w:t>
            </w:r>
          </w:p>
        </w:tc>
        <w:tc>
          <w:tcPr>
            <w:tcW w:type="dxa" w:w="2880"/>
          </w:tcPr>
          <w:p>
            <w:r>
              <w:t>KT-KNOWLEDGE-TRANSFER.md</w:t>
            </w:r>
          </w:p>
        </w:tc>
        <w:tc>
          <w:tcPr>
            <w:tcW w:type="dxa" w:w="2880"/>
          </w:tcPr>
          <w:p>
            <w:r>
              <w:t>Handover guide for a new owner or developer</w:t>
            </w:r>
          </w:p>
        </w:tc>
      </w:tr>
    </w:tbl>
    <w:p>
      <w:r>
        <w:t>New team members can start with the KT document, then PRD and ARCHITECTURE.</w:t>
      </w:r>
    </w:p>
    <w:p>
      <w:pPr>
        <w:pStyle w:val="Heading2"/>
      </w:pPr>
      <w:r>
        <w:t>Working prompts 9, 11 and 15</w:t>
      </w:r>
    </w:p>
    <w:p>
      <w:r>
        <w:t>Prompts 9, 11 and 15 in the documentation prompt set are working prompts: they are run per task (for a specific feature, review or bug) rather than producing a standing document. What they guide is covered here:</w:t>
      </w:r>
    </w:p>
    <w:p>
      <w:pPr>
        <w:pStyle w:val="ListBullet"/>
      </w:pPr>
      <w:r>
        <w:t>Prompt 9 (build/feature work): IMPLEMENTATION-PLAN.md, AGENTS.md</w:t>
      </w:r>
    </w:p>
    <w:p>
      <w:pPr>
        <w:pStyle w:val="ListBullet"/>
      </w:pPr>
      <w:r>
        <w:t>Prompt 11 (authentication &amp; authorization): SECURITY.md, ARCHITECTURE.md, API.md</w:t>
      </w:r>
    </w:p>
    <w:p>
      <w:pPr>
        <w:pStyle w:val="ListBullet"/>
      </w:pPr>
      <w:r>
        <w:t>Prompt 15 (debugging / root cause): TESTING-QA.md, MONITORING.md, AGENTS.md</w:t>
      </w:r>
    </w:p>
    <w:p>
      <w:r>
        <w:t>The end-user manual lives separately at ../manual/USER-MANUAL.html.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