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444444"/>
          <w:sz w:val="26"/>
          <w:szCs w:val="26"/>
        </w:rPr>
        <w:t xml:space="preserve">Week 4: Machine Learning Model Selection and Evaluation Plan</w:t>
      </w:r>
    </w:p>
    <w:p>
      <w:pPr>
        <w:spacing w:after="80"/>
        <w:jc w:val="center"/>
      </w:pPr>
      <w:r>
        <w:rPr>
          <w:color w:val="555555"/>
          <w:sz w:val="22"/>
          <w:szCs w:val="22"/>
        </w:rPr>
        <w:t xml:space="preserve">Virtual Data Science Apprentice – Python Specialist Intern</w:t>
      </w:r>
    </w:p>
    <w:p>
      <w:pPr>
        <w:spacing w:after="80"/>
        <w:jc w:val="center"/>
      </w:pPr>
      <w:r>
        <w:rPr>
          <w:color w:val="555555"/>
          <w:sz w:val="22"/>
          <w:szCs w:val="22"/>
        </w:rPr>
        <w:t xml:space="preserve">NSDC YuvaIntern Virtual Internship Program</w:t>
      </w:r>
    </w:p>
    <w:p>
      <w:pPr>
        <w:spacing w:after="80"/>
        <w:jc w:val="center"/>
      </w:pPr>
      <w:r>
        <w:rPr>
          <w:color w:val="555555"/>
          <w:sz w:val="22"/>
          <w:szCs w:val="22"/>
        </w:rPr>
        <w:t xml:space="preserve">Submitted by: [Your Name]</w:t>
      </w:r>
    </w:p>
    <w:p>
      <w:pPr>
        <w:spacing w:after="80"/>
        <w:jc w:val="center"/>
      </w:pPr>
      <w:r>
        <w:rPr>
          <w:color w:val="555555"/>
          <w:sz w:val="22"/>
          <w:szCs w:val="22"/>
        </w:rPr>
        <w:t xml:space="preserve">Date: [Submission Date]</w:t>
      </w:r>
    </w:p>
    <w:p>
      <w:r>
        <w:br w:type="page"/>
      </w:r>
    </w:p>
    <w:p>
      <w:pPr>
        <w:pStyle w:val="Heading1"/>
        <w:spacing w:after="160" w:before="320"/>
      </w:pPr>
      <w:r>
        <w:rPr>
          <w:b/>
          <w:bCs/>
          <w:color w:val="1F4E79"/>
        </w:rPr>
        <w:t xml:space="preserve">1. Introduction</w:t>
      </w:r>
    </w:p>
    <w:p>
      <w:pPr>
        <w:spacing w:after="160"/>
      </w:pPr>
      <w:r>
        <w:rPr>
          <w:sz w:val="22"/>
          <w:szCs w:val="22"/>
        </w:rPr>
        <w:t xml:space="preserve">With the dataset cleaned (Week 2) and explored (Week 3), the final stage of the Disease Prediction System project is to select, train, and evaluate machine learning models capable of classifying disease presence from patient health data. This document outlines the candidate modelling approaches under consideration, the criteria used to choose among them, the evaluation metrics that will determine success, and the validation strategy that will be used to ensure the final model generalizes beyond the training data rather than simply memorizing it.</w:t>
      </w:r>
    </w:p>
    <w:p>
      <w:pPr>
        <w:pStyle w:val="Heading1"/>
        <w:spacing w:after="160" w:before="320"/>
      </w:pPr>
      <w:r>
        <w:rPr>
          <w:b/>
          <w:bCs/>
          <w:color w:val="1F4E79"/>
        </w:rPr>
        <w:t xml:space="preserve">2. Candidate Machine Learning Approaches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DDEBF7" w:val="clear"/>
            <w:tcMar>
              <w:top w:type="dxa" w:w="100"/>
              <w:left w:type="dxa" w:w="120"/>
              <w:bottom w:type="dxa" w:w="100"/>
              <w:right w:type="dxa" w:w="120"/>
            </w:tcMar>
          </w:tcPr>
          <w:p>
            <w:r>
              <w:rPr>
                <w:b/>
                <w:bCs/>
                <w:color w:val="1F4E79"/>
                <w:sz w:val="20"/>
                <w:szCs w:val="20"/>
              </w:rPr>
              <w:t xml:space="preserve">Model</w:t>
            </w:r>
          </w:p>
        </w:tc>
        <w:tc>
          <w:tcPr>
            <w:tcW w:type="dxa" w:w="3400"/>
            <w:shd w:fill="DDEBF7" w:val="clear"/>
            <w:tcMar>
              <w:top w:type="dxa" w:w="100"/>
              <w:left w:type="dxa" w:w="120"/>
              <w:bottom w:type="dxa" w:w="100"/>
              <w:right w:type="dxa" w:w="120"/>
            </w:tcMar>
          </w:tcPr>
          <w:p>
            <w:r>
              <w:rPr>
                <w:b/>
                <w:bCs/>
                <w:color w:val="1F4E79"/>
                <w:sz w:val="20"/>
                <w:szCs w:val="20"/>
              </w:rPr>
              <w:t xml:space="preserve">Strengths</w:t>
            </w:r>
          </w:p>
        </w:tc>
        <w:tc>
          <w:tcPr>
            <w:tcW w:type="dxa" w:w="3400"/>
            <w:shd w:fill="DDEBF7" w:val="clear"/>
            <w:tcMar>
              <w:top w:type="dxa" w:w="100"/>
              <w:left w:type="dxa" w:w="120"/>
              <w:bottom w:type="dxa" w:w="100"/>
              <w:right w:type="dxa" w:w="120"/>
            </w:tcMar>
          </w:tcPr>
          <w:p>
            <w:r>
              <w:rPr>
                <w:b/>
                <w:bCs/>
                <w:color w:val="1F4E79"/>
                <w:sz w:val="20"/>
                <w:szCs w:val="20"/>
              </w:rPr>
              <w:t xml:space="preserve">Weaknesses / Considerations</w:t>
            </w:r>
          </w:p>
        </w:tc>
      </w:tr>
      <w:tr>
        <w:tc>
          <w:tcPr>
            <w:tcW w:type="dxa" w:w="2200"/>
            <w:tcMar>
              <w:top w:type="dxa" w:w="100"/>
              <w:left w:type="dxa" w:w="120"/>
              <w:bottom w:type="dxa" w:w="100"/>
              <w:right w:type="dxa" w:w="120"/>
            </w:tcMar>
          </w:tcPr>
          <w:p>
            <w:r>
              <w:rPr>
                <w:b w:val="false"/>
                <w:bCs w:val="false"/>
                <w:color w:val="222222"/>
                <w:sz w:val="20"/>
                <w:szCs w:val="20"/>
              </w:rPr>
              <w:t xml:space="preserve">Logistic Regression</w:t>
            </w:r>
          </w:p>
        </w:tc>
        <w:tc>
          <w:tcPr>
            <w:tcW w:type="dxa" w:w="3400"/>
            <w:tcMar>
              <w:top w:type="dxa" w:w="100"/>
              <w:left w:type="dxa" w:w="120"/>
              <w:bottom w:type="dxa" w:w="100"/>
              <w:right w:type="dxa" w:w="120"/>
            </w:tcMar>
          </w:tcPr>
          <w:p>
            <w:r>
              <w:rPr>
                <w:b w:val="false"/>
                <w:bCs w:val="false"/>
                <w:color w:val="222222"/>
                <w:sz w:val="20"/>
                <w:szCs w:val="20"/>
              </w:rPr>
              <w:t xml:space="preserve">Highly interpretable coefficients; fast to train; strong baseline for binary classification</w:t>
            </w:r>
          </w:p>
        </w:tc>
        <w:tc>
          <w:tcPr>
            <w:tcW w:type="dxa" w:w="3400"/>
            <w:tcMar>
              <w:top w:type="dxa" w:w="100"/>
              <w:left w:type="dxa" w:w="120"/>
              <w:bottom w:type="dxa" w:w="100"/>
              <w:right w:type="dxa" w:w="120"/>
            </w:tcMar>
          </w:tcPr>
          <w:p>
            <w:r>
              <w:rPr>
                <w:b w:val="false"/>
                <w:bCs w:val="false"/>
                <w:color w:val="222222"/>
                <w:sz w:val="20"/>
                <w:szCs w:val="20"/>
              </w:rPr>
              <w:t xml:space="preserve">Assumes a roughly linear relationship between features and log-odds of the outcome; sensitive to multicollinearity</w:t>
            </w:r>
          </w:p>
        </w:tc>
      </w:tr>
      <w:tr>
        <w:tc>
          <w:tcPr>
            <w:tcW w:type="dxa" w:w="2200"/>
            <w:tcMar>
              <w:top w:type="dxa" w:w="100"/>
              <w:left w:type="dxa" w:w="120"/>
              <w:bottom w:type="dxa" w:w="100"/>
              <w:right w:type="dxa" w:w="120"/>
            </w:tcMar>
          </w:tcPr>
          <w:p>
            <w:r>
              <w:rPr>
                <w:b w:val="false"/>
                <w:bCs w:val="false"/>
                <w:color w:val="222222"/>
                <w:sz w:val="20"/>
                <w:szCs w:val="20"/>
              </w:rPr>
              <w:t xml:space="preserve">Decision Tree</w:t>
            </w:r>
          </w:p>
        </w:tc>
        <w:tc>
          <w:tcPr>
            <w:tcW w:type="dxa" w:w="3400"/>
            <w:tcMar>
              <w:top w:type="dxa" w:w="100"/>
              <w:left w:type="dxa" w:w="120"/>
              <w:bottom w:type="dxa" w:w="100"/>
              <w:right w:type="dxa" w:w="120"/>
            </w:tcMar>
          </w:tcPr>
          <w:p>
            <w:r>
              <w:rPr>
                <w:b w:val="false"/>
                <w:bCs w:val="false"/>
                <w:color w:val="222222"/>
                <w:sz w:val="20"/>
                <w:szCs w:val="20"/>
              </w:rPr>
              <w:t xml:space="preserve">Easy to visualize and explain; captures non-linear relationships and interactions</w:t>
            </w:r>
          </w:p>
        </w:tc>
        <w:tc>
          <w:tcPr>
            <w:tcW w:type="dxa" w:w="3400"/>
            <w:tcMar>
              <w:top w:type="dxa" w:w="100"/>
              <w:left w:type="dxa" w:w="120"/>
              <w:bottom w:type="dxa" w:w="100"/>
              <w:right w:type="dxa" w:w="120"/>
            </w:tcMar>
          </w:tcPr>
          <w:p>
            <w:r>
              <w:rPr>
                <w:b w:val="false"/>
                <w:bCs w:val="false"/>
                <w:color w:val="222222"/>
                <w:sz w:val="20"/>
                <w:szCs w:val="20"/>
              </w:rPr>
              <w:t xml:space="preserve">Prone to overfitting if not pruned or depth-limited</w:t>
            </w:r>
          </w:p>
        </w:tc>
      </w:tr>
      <w:tr>
        <w:tc>
          <w:tcPr>
            <w:tcW w:type="dxa" w:w="2200"/>
            <w:tcMar>
              <w:top w:type="dxa" w:w="100"/>
              <w:left w:type="dxa" w:w="120"/>
              <w:bottom w:type="dxa" w:w="100"/>
              <w:right w:type="dxa" w:w="120"/>
            </w:tcMar>
          </w:tcPr>
          <w:p>
            <w:r>
              <w:rPr>
                <w:b w:val="false"/>
                <w:bCs w:val="false"/>
                <w:color w:val="222222"/>
                <w:sz w:val="20"/>
                <w:szCs w:val="20"/>
              </w:rPr>
              <w:t xml:space="preserve">Random Forest</w:t>
            </w:r>
          </w:p>
        </w:tc>
        <w:tc>
          <w:tcPr>
            <w:tcW w:type="dxa" w:w="3400"/>
            <w:tcMar>
              <w:top w:type="dxa" w:w="100"/>
              <w:left w:type="dxa" w:w="120"/>
              <w:bottom w:type="dxa" w:w="100"/>
              <w:right w:type="dxa" w:w="120"/>
            </w:tcMar>
          </w:tcPr>
          <w:p>
            <w:r>
              <w:rPr>
                <w:b w:val="false"/>
                <w:bCs w:val="false"/>
                <w:color w:val="222222"/>
                <w:sz w:val="20"/>
                <w:szCs w:val="20"/>
              </w:rPr>
              <w:t xml:space="preserve">Strong accuracy from ensembling many trees; handles non-linearity and feature interactions well; provides feature importance</w:t>
            </w:r>
          </w:p>
        </w:tc>
        <w:tc>
          <w:tcPr>
            <w:tcW w:type="dxa" w:w="3400"/>
            <w:tcMar>
              <w:top w:type="dxa" w:w="100"/>
              <w:left w:type="dxa" w:w="120"/>
              <w:bottom w:type="dxa" w:w="100"/>
              <w:right w:type="dxa" w:w="120"/>
            </w:tcMar>
          </w:tcPr>
          <w:p>
            <w:r>
              <w:rPr>
                <w:b w:val="false"/>
                <w:bCs w:val="false"/>
                <w:color w:val="222222"/>
                <w:sz w:val="20"/>
                <w:szCs w:val="20"/>
              </w:rPr>
              <w:t xml:space="preserve">Less interpretable than a single tree or logistic regression; more compute</w:t>
            </w:r>
          </w:p>
        </w:tc>
      </w:tr>
      <w:tr>
        <w:tc>
          <w:tcPr>
            <w:tcW w:type="dxa" w:w="2200"/>
            <w:tcMar>
              <w:top w:type="dxa" w:w="100"/>
              <w:left w:type="dxa" w:w="120"/>
              <w:bottom w:type="dxa" w:w="100"/>
              <w:right w:type="dxa" w:w="120"/>
            </w:tcMar>
          </w:tcPr>
          <w:p>
            <w:r>
              <w:rPr>
                <w:b w:val="false"/>
                <w:bCs w:val="false"/>
                <w:color w:val="222222"/>
                <w:sz w:val="20"/>
                <w:szCs w:val="20"/>
              </w:rPr>
              <w:t xml:space="preserve">Support Vector Machine (SVM)</w:t>
            </w:r>
          </w:p>
        </w:tc>
        <w:tc>
          <w:tcPr>
            <w:tcW w:type="dxa" w:w="3400"/>
            <w:tcMar>
              <w:top w:type="dxa" w:w="100"/>
              <w:left w:type="dxa" w:w="120"/>
              <w:bottom w:type="dxa" w:w="100"/>
              <w:right w:type="dxa" w:w="120"/>
            </w:tcMar>
          </w:tcPr>
          <w:p>
            <w:r>
              <w:rPr>
                <w:b w:val="false"/>
                <w:bCs w:val="false"/>
                <w:color w:val="222222"/>
                <w:sz w:val="20"/>
                <w:szCs w:val="20"/>
              </w:rPr>
              <w:t xml:space="preserve">Effective in moderate-dimensional spaces; can model non-linear boundaries with kernels</w:t>
            </w:r>
          </w:p>
        </w:tc>
        <w:tc>
          <w:tcPr>
            <w:tcW w:type="dxa" w:w="3400"/>
            <w:tcMar>
              <w:top w:type="dxa" w:w="100"/>
              <w:left w:type="dxa" w:w="120"/>
              <w:bottom w:type="dxa" w:w="100"/>
              <w:right w:type="dxa" w:w="120"/>
            </w:tcMar>
          </w:tcPr>
          <w:p>
            <w:r>
              <w:rPr>
                <w:b w:val="false"/>
                <w:bCs w:val="false"/>
                <w:color w:val="222222"/>
                <w:sz w:val="20"/>
                <w:szCs w:val="20"/>
              </w:rPr>
              <w:t xml:space="preserve">Less interpretable; sensitive to feature scaling; slower on larger datasets</w:t>
            </w:r>
          </w:p>
        </w:tc>
      </w:tr>
      <w:tr>
        <w:tc>
          <w:tcPr>
            <w:tcW w:type="dxa" w:w="2200"/>
            <w:tcMar>
              <w:top w:type="dxa" w:w="100"/>
              <w:left w:type="dxa" w:w="120"/>
              <w:bottom w:type="dxa" w:w="100"/>
              <w:right w:type="dxa" w:w="120"/>
            </w:tcMar>
          </w:tcPr>
          <w:p>
            <w:r>
              <w:rPr>
                <w:b w:val="false"/>
                <w:bCs w:val="false"/>
                <w:color w:val="222222"/>
                <w:sz w:val="20"/>
                <w:szCs w:val="20"/>
              </w:rPr>
              <w:t xml:space="preserve">K-Nearest Neighbors (KNN)</w:t>
            </w:r>
          </w:p>
        </w:tc>
        <w:tc>
          <w:tcPr>
            <w:tcW w:type="dxa" w:w="3400"/>
            <w:tcMar>
              <w:top w:type="dxa" w:w="100"/>
              <w:left w:type="dxa" w:w="120"/>
              <w:bottom w:type="dxa" w:w="100"/>
              <w:right w:type="dxa" w:w="120"/>
            </w:tcMar>
          </w:tcPr>
          <w:p>
            <w:r>
              <w:rPr>
                <w:b w:val="false"/>
                <w:bCs w:val="false"/>
                <w:color w:val="222222"/>
                <w:sz w:val="20"/>
                <w:szCs w:val="20"/>
              </w:rPr>
              <w:t xml:space="preserve">Simple, intuitive, no training phase</w:t>
            </w:r>
          </w:p>
        </w:tc>
        <w:tc>
          <w:tcPr>
            <w:tcW w:type="dxa" w:w="3400"/>
            <w:tcMar>
              <w:top w:type="dxa" w:w="100"/>
              <w:left w:type="dxa" w:w="120"/>
              <w:bottom w:type="dxa" w:w="100"/>
              <w:right w:type="dxa" w:w="120"/>
            </w:tcMar>
          </w:tcPr>
          <w:p>
            <w:r>
              <w:rPr>
                <w:b w:val="false"/>
                <w:bCs w:val="false"/>
                <w:color w:val="222222"/>
                <w:sz w:val="20"/>
                <w:szCs w:val="20"/>
              </w:rPr>
              <w:t xml:space="preserve">Sensitive to feature scaling and irrelevant features; slower predictions on larger datasets</w:t>
            </w:r>
          </w:p>
        </w:tc>
      </w:tr>
    </w:tbl>
    <w:p>
      <w:pPr>
        <w:pStyle w:val="Heading1"/>
        <w:spacing w:after="160" w:before="320"/>
      </w:pPr>
      <w:r>
        <w:rPr>
          <w:b/>
          <w:bCs/>
          <w:color w:val="1F4E79"/>
        </w:rPr>
        <w:t xml:space="preserve">3. Model Selection Criteria</w:t>
      </w:r>
    </w:p>
    <w:p>
      <w:pPr>
        <w:spacing w:after="160"/>
      </w:pPr>
      <w:r>
        <w:rPr>
          <w:sz w:val="22"/>
          <w:szCs w:val="22"/>
        </w:rPr>
        <w:t xml:space="preserve">Rather than defaulting to the most complex model available, each candidate will be assessed against the following criteria, consistent with the interpretability needs of a healthcare-adjacent use case:</w:t>
      </w:r>
    </w:p>
    <w:p>
      <w:pPr>
        <w:pStyle w:val="ListParagraph"/>
        <w:numPr>
          <w:ilvl w:val="0"/>
          <w:numId w:val="2"/>
        </w:numPr>
        <w:spacing w:after="80"/>
      </w:pPr>
      <w:r>
        <w:rPr>
          <w:sz w:val="22"/>
          <w:szCs w:val="22"/>
        </w:rPr>
        <w:t xml:space="preserve">Predictive performance across the evaluation metrics defined in Section 4, not accuracy alone.</w:t>
      </w:r>
    </w:p>
    <w:p>
      <w:pPr>
        <w:pStyle w:val="ListParagraph"/>
        <w:numPr>
          <w:ilvl w:val="0"/>
          <w:numId w:val="2"/>
        </w:numPr>
        <w:spacing w:after="80"/>
      </w:pPr>
      <w:r>
        <w:rPr>
          <w:sz w:val="22"/>
          <w:szCs w:val="22"/>
        </w:rPr>
        <w:t xml:space="preserve">Interpretability: the degree to which a clinician or reviewer could understand why the model made a given prediction, which matters more in healthcare contexts than in many other domains.</w:t>
      </w:r>
    </w:p>
    <w:p>
      <w:pPr>
        <w:pStyle w:val="ListParagraph"/>
        <w:numPr>
          <w:ilvl w:val="0"/>
          <w:numId w:val="2"/>
        </w:numPr>
        <w:spacing w:after="80"/>
      </w:pPr>
      <w:r>
        <w:rPr>
          <w:sz w:val="22"/>
          <w:szCs w:val="22"/>
        </w:rPr>
        <w:t xml:space="preserve">Robustness to the dataset's size and class balance, given that the chosen dataset is relatively small.</w:t>
      </w:r>
    </w:p>
    <w:p>
      <w:pPr>
        <w:pStyle w:val="ListParagraph"/>
        <w:numPr>
          <w:ilvl w:val="0"/>
          <w:numId w:val="2"/>
        </w:numPr>
        <w:spacing w:after="80"/>
      </w:pPr>
      <w:r>
        <w:rPr>
          <w:sz w:val="22"/>
          <w:szCs w:val="22"/>
        </w:rPr>
        <w:t xml:space="preserve">Training and inference cost, since the project should remain reproducible within a standard notebook environment.</w:t>
      </w:r>
    </w:p>
    <w:p>
      <w:pPr>
        <w:pStyle w:val="ListParagraph"/>
        <w:numPr>
          <w:ilvl w:val="0"/>
          <w:numId w:val="2"/>
        </w:numPr>
        <w:spacing w:after="80"/>
      </w:pPr>
      <w:r>
        <w:rPr>
          <w:sz w:val="22"/>
          <w:szCs w:val="22"/>
        </w:rPr>
        <w:t xml:space="preserve">Sensitivity to feature scaling and multicollinearity, informed directly by the Week 3 correlation analysis.</w:t>
      </w:r>
    </w:p>
    <w:p>
      <w:pPr>
        <w:pStyle w:val="Heading1"/>
        <w:spacing w:after="160" w:before="320"/>
      </w:pPr>
      <w:r>
        <w:rPr>
          <w:b/>
          <w:bCs/>
          <w:color w:val="1F4E79"/>
        </w:rPr>
        <w:t xml:space="preserve">4. Evaluation Metrics</w:t>
      </w:r>
    </w:p>
    <w:p>
      <w:pPr>
        <w:spacing w:after="160"/>
      </w:pPr>
      <w:r>
        <w:rPr>
          <w:sz w:val="22"/>
          <w:szCs w:val="22"/>
        </w:rPr>
        <w:t xml:space="preserve">Because misclassifying an at-risk patient as low-risk (a false negative) is generally more costly than a false alarm, accuracy alone is not sufficient to judge these models. The following metrics will be used together: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c>
          <w:tcPr>
            <w:tcW w:type="dxa" w:w="1800"/>
            <w:shd w:fill="DDEBF7" w:val="clear"/>
            <w:tcMar>
              <w:top w:type="dxa" w:w="100"/>
              <w:left w:type="dxa" w:w="120"/>
              <w:bottom w:type="dxa" w:w="100"/>
              <w:right w:type="dxa" w:w="120"/>
            </w:tcMar>
          </w:tcPr>
          <w:p>
            <w:r>
              <w:rPr>
                <w:b/>
                <w:bCs/>
                <w:color w:val="1F4E79"/>
                <w:sz w:val="20"/>
                <w:szCs w:val="20"/>
              </w:rPr>
              <w:t xml:space="preserve">Metric</w:t>
            </w:r>
          </w:p>
        </w:tc>
        <w:tc>
          <w:tcPr>
            <w:tcW w:type="dxa" w:w="3400"/>
            <w:shd w:fill="DDEBF7" w:val="clear"/>
            <w:tcMar>
              <w:top w:type="dxa" w:w="100"/>
              <w:left w:type="dxa" w:w="120"/>
              <w:bottom w:type="dxa" w:w="100"/>
              <w:right w:type="dxa" w:w="120"/>
            </w:tcMar>
          </w:tcPr>
          <w:p>
            <w:r>
              <w:rPr>
                <w:b/>
                <w:bCs/>
                <w:color w:val="1F4E79"/>
                <w:sz w:val="20"/>
                <w:szCs w:val="20"/>
              </w:rPr>
              <w:t xml:space="preserve">What It Measures</w:t>
            </w:r>
          </w:p>
        </w:tc>
        <w:tc>
          <w:tcPr>
            <w:tcW w:type="dxa" w:w="3800"/>
            <w:shd w:fill="DDEBF7" w:val="clear"/>
            <w:tcMar>
              <w:top w:type="dxa" w:w="100"/>
              <w:left w:type="dxa" w:w="120"/>
              <w:bottom w:type="dxa" w:w="100"/>
              <w:right w:type="dxa" w:w="120"/>
            </w:tcMar>
          </w:tcPr>
          <w:p>
            <w:r>
              <w:rPr>
                <w:b/>
                <w:bCs/>
                <w:color w:val="1F4E79"/>
                <w:sz w:val="20"/>
                <w:szCs w:val="20"/>
              </w:rPr>
              <w:t xml:space="preserve">Why It Matters Here</w:t>
            </w:r>
          </w:p>
        </w:tc>
      </w:tr>
      <w:tr>
        <w:tc>
          <w:tcPr>
            <w:tcW w:type="dxa" w:w="1800"/>
            <w:tcMar>
              <w:top w:type="dxa" w:w="100"/>
              <w:left w:type="dxa" w:w="120"/>
              <w:bottom w:type="dxa" w:w="100"/>
              <w:right w:type="dxa" w:w="120"/>
            </w:tcMar>
          </w:tcPr>
          <w:p>
            <w:r>
              <w:rPr>
                <w:b w:val="false"/>
                <w:bCs w:val="false"/>
                <w:color w:val="222222"/>
                <w:sz w:val="20"/>
                <w:szCs w:val="20"/>
              </w:rPr>
              <w:t xml:space="preserve">Accuracy</w:t>
            </w:r>
          </w:p>
        </w:tc>
        <w:tc>
          <w:tcPr>
            <w:tcW w:type="dxa" w:w="3400"/>
            <w:tcMar>
              <w:top w:type="dxa" w:w="100"/>
              <w:left w:type="dxa" w:w="120"/>
              <w:bottom w:type="dxa" w:w="100"/>
              <w:right w:type="dxa" w:w="120"/>
            </w:tcMar>
          </w:tcPr>
          <w:p>
            <w:r>
              <w:rPr>
                <w:b w:val="false"/>
                <w:bCs w:val="false"/>
                <w:color w:val="222222"/>
                <w:sz w:val="20"/>
                <w:szCs w:val="20"/>
              </w:rPr>
              <w:t xml:space="preserve">Overall proportion of correct predictions</w:t>
            </w:r>
          </w:p>
        </w:tc>
        <w:tc>
          <w:tcPr>
            <w:tcW w:type="dxa" w:w="3800"/>
            <w:tcMar>
              <w:top w:type="dxa" w:w="100"/>
              <w:left w:type="dxa" w:w="120"/>
              <w:bottom w:type="dxa" w:w="100"/>
              <w:right w:type="dxa" w:w="120"/>
            </w:tcMar>
          </w:tcPr>
          <w:p>
            <w:r>
              <w:rPr>
                <w:b w:val="false"/>
                <w:bCs w:val="false"/>
                <w:color w:val="222222"/>
                <w:sz w:val="20"/>
                <w:szCs w:val="20"/>
              </w:rPr>
              <w:t xml:space="preserve">Useful as a general baseline, but can be misleading under class imbalance</w:t>
            </w:r>
          </w:p>
        </w:tc>
      </w:tr>
      <w:tr>
        <w:tc>
          <w:tcPr>
            <w:tcW w:type="dxa" w:w="1800"/>
            <w:tcMar>
              <w:top w:type="dxa" w:w="100"/>
              <w:left w:type="dxa" w:w="120"/>
              <w:bottom w:type="dxa" w:w="100"/>
              <w:right w:type="dxa" w:w="120"/>
            </w:tcMar>
          </w:tcPr>
          <w:p>
            <w:r>
              <w:rPr>
                <w:b w:val="false"/>
                <w:bCs w:val="false"/>
                <w:color w:val="222222"/>
                <w:sz w:val="20"/>
                <w:szCs w:val="20"/>
              </w:rPr>
              <w:t xml:space="preserve">Precision</w:t>
            </w:r>
          </w:p>
        </w:tc>
        <w:tc>
          <w:tcPr>
            <w:tcW w:type="dxa" w:w="3400"/>
            <w:tcMar>
              <w:top w:type="dxa" w:w="100"/>
              <w:left w:type="dxa" w:w="120"/>
              <w:bottom w:type="dxa" w:w="100"/>
              <w:right w:type="dxa" w:w="120"/>
            </w:tcMar>
          </w:tcPr>
          <w:p>
            <w:r>
              <w:rPr>
                <w:b w:val="false"/>
                <w:bCs w:val="false"/>
                <w:color w:val="222222"/>
                <w:sz w:val="20"/>
                <w:szCs w:val="20"/>
              </w:rPr>
              <w:t xml:space="preserve">Of predicted-positive cases, how many are truly positive</w:t>
            </w:r>
          </w:p>
        </w:tc>
        <w:tc>
          <w:tcPr>
            <w:tcW w:type="dxa" w:w="3800"/>
            <w:tcMar>
              <w:top w:type="dxa" w:w="100"/>
              <w:left w:type="dxa" w:w="120"/>
              <w:bottom w:type="dxa" w:w="100"/>
              <w:right w:type="dxa" w:w="120"/>
            </w:tcMar>
          </w:tcPr>
          <w:p>
            <w:r>
              <w:rPr>
                <w:b w:val="false"/>
                <w:bCs w:val="false"/>
                <w:color w:val="222222"/>
                <w:sz w:val="20"/>
                <w:szCs w:val="20"/>
              </w:rPr>
              <w:t xml:space="preserve">High precision reduces the number of healthy patients incorrectly flagged as at-risk</w:t>
            </w:r>
          </w:p>
        </w:tc>
      </w:tr>
      <w:tr>
        <w:tc>
          <w:tcPr>
            <w:tcW w:type="dxa" w:w="1800"/>
            <w:tcMar>
              <w:top w:type="dxa" w:w="100"/>
              <w:left w:type="dxa" w:w="120"/>
              <w:bottom w:type="dxa" w:w="100"/>
              <w:right w:type="dxa" w:w="120"/>
            </w:tcMar>
          </w:tcPr>
          <w:p>
            <w:r>
              <w:rPr>
                <w:b w:val="false"/>
                <w:bCs w:val="false"/>
                <w:color w:val="222222"/>
                <w:sz w:val="20"/>
                <w:szCs w:val="20"/>
              </w:rPr>
              <w:t xml:space="preserve">Recall (Sensitivity)</w:t>
            </w:r>
          </w:p>
        </w:tc>
        <w:tc>
          <w:tcPr>
            <w:tcW w:type="dxa" w:w="3400"/>
            <w:tcMar>
              <w:top w:type="dxa" w:w="100"/>
              <w:left w:type="dxa" w:w="120"/>
              <w:bottom w:type="dxa" w:w="100"/>
              <w:right w:type="dxa" w:w="120"/>
            </w:tcMar>
          </w:tcPr>
          <w:p>
            <w:r>
              <w:rPr>
                <w:b w:val="false"/>
                <w:bCs w:val="false"/>
                <w:color w:val="222222"/>
                <w:sz w:val="20"/>
                <w:szCs w:val="20"/>
              </w:rPr>
              <w:t xml:space="preserve">Of truly positive cases, how many were correctly identified</w:t>
            </w:r>
          </w:p>
        </w:tc>
        <w:tc>
          <w:tcPr>
            <w:tcW w:type="dxa" w:w="3800"/>
            <w:tcMar>
              <w:top w:type="dxa" w:w="100"/>
              <w:left w:type="dxa" w:w="120"/>
              <w:bottom w:type="dxa" w:w="100"/>
              <w:right w:type="dxa" w:w="120"/>
            </w:tcMar>
          </w:tcPr>
          <w:p>
            <w:r>
              <w:rPr>
                <w:b w:val="false"/>
                <w:bCs w:val="false"/>
                <w:color w:val="222222"/>
                <w:sz w:val="20"/>
                <w:szCs w:val="20"/>
              </w:rPr>
              <w:t xml:space="preserve">High recall is critical in a health-risk context — missing a genuinely at-risk patient is the costliest error</w:t>
            </w:r>
          </w:p>
        </w:tc>
      </w:tr>
      <w:tr>
        <w:tc>
          <w:tcPr>
            <w:tcW w:type="dxa" w:w="1800"/>
            <w:tcMar>
              <w:top w:type="dxa" w:w="100"/>
              <w:left w:type="dxa" w:w="120"/>
              <w:bottom w:type="dxa" w:w="100"/>
              <w:right w:type="dxa" w:w="120"/>
            </w:tcMar>
          </w:tcPr>
          <w:p>
            <w:r>
              <w:rPr>
                <w:b w:val="false"/>
                <w:bCs w:val="false"/>
                <w:color w:val="222222"/>
                <w:sz w:val="20"/>
                <w:szCs w:val="20"/>
              </w:rPr>
              <w:t xml:space="preserve">F1 Score</w:t>
            </w:r>
          </w:p>
        </w:tc>
        <w:tc>
          <w:tcPr>
            <w:tcW w:type="dxa" w:w="3400"/>
            <w:tcMar>
              <w:top w:type="dxa" w:w="100"/>
              <w:left w:type="dxa" w:w="120"/>
              <w:bottom w:type="dxa" w:w="100"/>
              <w:right w:type="dxa" w:w="120"/>
            </w:tcMar>
          </w:tcPr>
          <w:p>
            <w:r>
              <w:rPr>
                <w:b w:val="false"/>
                <w:bCs w:val="false"/>
                <w:color w:val="222222"/>
                <w:sz w:val="20"/>
                <w:szCs w:val="20"/>
              </w:rPr>
              <w:t xml:space="preserve">Harmonic mean of precision and recall</w:t>
            </w:r>
          </w:p>
        </w:tc>
        <w:tc>
          <w:tcPr>
            <w:tcW w:type="dxa" w:w="3800"/>
            <w:tcMar>
              <w:top w:type="dxa" w:w="100"/>
              <w:left w:type="dxa" w:w="120"/>
              <w:bottom w:type="dxa" w:w="100"/>
              <w:right w:type="dxa" w:w="120"/>
            </w:tcMar>
          </w:tcPr>
          <w:p>
            <w:r>
              <w:rPr>
                <w:b w:val="false"/>
                <w:bCs w:val="false"/>
                <w:color w:val="222222"/>
                <w:sz w:val="20"/>
                <w:szCs w:val="20"/>
              </w:rPr>
              <w:t xml:space="preserve">Balances the precision/recall trade-off into a single comparable number</w:t>
            </w:r>
          </w:p>
        </w:tc>
      </w:tr>
      <w:tr>
        <w:tc>
          <w:tcPr>
            <w:tcW w:type="dxa" w:w="1800"/>
            <w:tcMar>
              <w:top w:type="dxa" w:w="100"/>
              <w:left w:type="dxa" w:w="120"/>
              <w:bottom w:type="dxa" w:w="100"/>
              <w:right w:type="dxa" w:w="120"/>
            </w:tcMar>
          </w:tcPr>
          <w:p>
            <w:r>
              <w:rPr>
                <w:b w:val="false"/>
                <w:bCs w:val="false"/>
                <w:color w:val="222222"/>
                <w:sz w:val="20"/>
                <w:szCs w:val="20"/>
              </w:rPr>
              <w:t xml:space="preserve">ROC-AUC</w:t>
            </w:r>
          </w:p>
        </w:tc>
        <w:tc>
          <w:tcPr>
            <w:tcW w:type="dxa" w:w="3400"/>
            <w:tcMar>
              <w:top w:type="dxa" w:w="100"/>
              <w:left w:type="dxa" w:w="120"/>
              <w:bottom w:type="dxa" w:w="100"/>
              <w:right w:type="dxa" w:w="120"/>
            </w:tcMar>
          </w:tcPr>
          <w:p>
            <w:r>
              <w:rPr>
                <w:b w:val="false"/>
                <w:bCs w:val="false"/>
                <w:color w:val="222222"/>
                <w:sz w:val="20"/>
                <w:szCs w:val="20"/>
              </w:rPr>
              <w:t xml:space="preserve">Model's ability to distinguish between classes across all thresholds</w:t>
            </w:r>
          </w:p>
        </w:tc>
        <w:tc>
          <w:tcPr>
            <w:tcW w:type="dxa" w:w="3800"/>
            <w:tcMar>
              <w:top w:type="dxa" w:w="100"/>
              <w:left w:type="dxa" w:w="120"/>
              <w:bottom w:type="dxa" w:w="100"/>
              <w:right w:type="dxa" w:w="120"/>
            </w:tcMar>
          </w:tcPr>
          <w:p>
            <w:r>
              <w:rPr>
                <w:b w:val="false"/>
                <w:bCs w:val="false"/>
                <w:color w:val="222222"/>
                <w:sz w:val="20"/>
                <w:szCs w:val="20"/>
              </w:rPr>
              <w:t xml:space="preserve">Threshold-independent view of overall discriminative power, useful for comparing models</w:t>
            </w:r>
          </w:p>
        </w:tc>
      </w:tr>
      <w:tr>
        <w:tc>
          <w:tcPr>
            <w:tcW w:type="dxa" w:w="1800"/>
            <w:tcMar>
              <w:top w:type="dxa" w:w="100"/>
              <w:left w:type="dxa" w:w="120"/>
              <w:bottom w:type="dxa" w:w="100"/>
              <w:right w:type="dxa" w:w="120"/>
            </w:tcMar>
          </w:tcPr>
          <w:p>
            <w:r>
              <w:rPr>
                <w:b w:val="false"/>
                <w:bCs w:val="false"/>
                <w:color w:val="222222"/>
                <w:sz w:val="20"/>
                <w:szCs w:val="20"/>
              </w:rPr>
              <w:t xml:space="preserve">Confusion Matrix</w:t>
            </w:r>
          </w:p>
        </w:tc>
        <w:tc>
          <w:tcPr>
            <w:tcW w:type="dxa" w:w="3400"/>
            <w:tcMar>
              <w:top w:type="dxa" w:w="100"/>
              <w:left w:type="dxa" w:w="120"/>
              <w:bottom w:type="dxa" w:w="100"/>
              <w:right w:type="dxa" w:w="120"/>
            </w:tcMar>
          </w:tcPr>
          <w:p>
            <w:r>
              <w:rPr>
                <w:b w:val="false"/>
                <w:bCs w:val="false"/>
                <w:color w:val="222222"/>
                <w:sz w:val="20"/>
                <w:szCs w:val="20"/>
              </w:rPr>
              <w:t xml:space="preserve">Full breakdown of true/false positives and negatives</w:t>
            </w:r>
          </w:p>
        </w:tc>
        <w:tc>
          <w:tcPr>
            <w:tcW w:type="dxa" w:w="3800"/>
            <w:tcMar>
              <w:top w:type="dxa" w:w="100"/>
              <w:left w:type="dxa" w:w="120"/>
              <w:bottom w:type="dxa" w:w="100"/>
              <w:right w:type="dxa" w:w="120"/>
            </w:tcMar>
          </w:tcPr>
          <w:p>
            <w:r>
              <w:rPr>
                <w:b w:val="false"/>
                <w:bCs w:val="false"/>
                <w:color w:val="222222"/>
                <w:sz w:val="20"/>
                <w:szCs w:val="20"/>
              </w:rPr>
              <w:t xml:space="preserve">Makes the specific error pattern of each model visible, not just a summary number</w:t>
            </w:r>
          </w:p>
        </w:tc>
      </w:tr>
    </w:tbl>
    <w:p>
      <w:pPr>
        <w:spacing w:after="160"/>
      </w:pPr>
      <w:r>
        <w:rPr>
          <w:sz w:val="22"/>
          <w:szCs w:val="22"/>
        </w:rPr>
        <w:t xml:space="preserve">Given the healthcare framing, recall will be weighted particularly heavily when comparing otherwise similar models, since the cost of a missed at-risk case outweighs the cost of an unnecessary follow-up test.</w:t>
      </w:r>
    </w:p>
    <w:p>
      <w:pPr>
        <w:pStyle w:val="Heading1"/>
        <w:spacing w:after="160" w:before="320"/>
      </w:pPr>
      <w:r>
        <w:rPr>
          <w:b/>
          <w:bCs/>
          <w:color w:val="1F4E79"/>
        </w:rPr>
        <w:t xml:space="preserve">5. Validation Strategy</w:t>
      </w:r>
    </w:p>
    <w:p>
      <w:pPr>
        <w:pStyle w:val="ListParagraph"/>
        <w:numPr>
          <w:ilvl w:val="0"/>
          <w:numId w:val="2"/>
        </w:numPr>
        <w:spacing w:after="80"/>
      </w:pPr>
      <w:r>
        <w:rPr>
          <w:sz w:val="22"/>
          <w:szCs w:val="22"/>
        </w:rPr>
        <w:t xml:space="preserve">An 80/20 stratified train/test split will be used so that class proportions are preserved in both sets.</w:t>
      </w:r>
    </w:p>
    <w:p>
      <w:pPr>
        <w:pStyle w:val="ListParagraph"/>
        <w:numPr>
          <w:ilvl w:val="0"/>
          <w:numId w:val="2"/>
        </w:numPr>
        <w:spacing w:after="80"/>
      </w:pPr>
      <w:r>
        <w:rPr>
          <w:sz w:val="22"/>
          <w:szCs w:val="22"/>
        </w:rPr>
        <w:t xml:space="preserve">5-fold stratified cross-validation will be applied on the training set during model comparison and hyperparameter tuning, to reduce the risk of overfitting to a single split.</w:t>
      </w:r>
    </w:p>
    <w:p>
      <w:pPr>
        <w:pStyle w:val="ListParagraph"/>
        <w:numPr>
          <w:ilvl w:val="0"/>
          <w:numId w:val="2"/>
        </w:numPr>
        <w:spacing w:after="80"/>
      </w:pPr>
      <w:r>
        <w:rPr>
          <w:sz w:val="22"/>
          <w:szCs w:val="22"/>
        </w:rPr>
        <w:t xml:space="preserve">The held-out test set will be used only once, at the very end, to report a final, unbiased performance estimate for the selected model.</w:t>
      </w:r>
    </w:p>
    <w:p>
      <w:pPr>
        <w:pStyle w:val="ListParagraph"/>
        <w:numPr>
          <w:ilvl w:val="0"/>
          <w:numId w:val="2"/>
        </w:numPr>
        <w:spacing w:after="80"/>
      </w:pPr>
      <w:r>
        <w:rPr>
          <w:sz w:val="22"/>
          <w:szCs w:val="22"/>
        </w:rPr>
        <w:t xml:space="preserve">Hyperparameter tuning will use GridSearchCV (or RandomizedSearchCV for larger parameter spaces) scoped to cross-validation folds only, never touching the test set.</w:t>
      </w:r>
    </w:p>
    <w:p>
      <w:pPr>
        <w:pStyle w:val="Heading1"/>
        <w:spacing w:after="160" w:before="320"/>
      </w:pPr>
      <w:r>
        <w:rPr>
          <w:b/>
          <w:bCs/>
          <w:color w:val="1F4E79"/>
        </w:rPr>
        <w:t xml:space="preserve">6. Model Selection and Evaluation Process</w:t>
      </w:r>
    </w:p>
    <w:p>
      <w:pPr>
        <w:spacing w:after="160"/>
      </w:pPr>
      <w:r>
        <w:rPr>
          <w:sz w:val="22"/>
          <w:szCs w:val="22"/>
        </w:rPr>
        <w:t xml:space="preserve">The end-to-end process for this stage will proceed as follows:</w:t>
      </w:r>
    </w:p>
    <w:p>
      <w:pPr>
        <w:pStyle w:val="ListParagraph"/>
        <w:numPr>
          <w:ilvl w:val="0"/>
          <w:numId w:val="3"/>
        </w:numPr>
        <w:spacing w:after="100"/>
      </w:pPr>
      <w:r>
        <w:rPr>
          <w:sz w:val="22"/>
          <w:szCs w:val="22"/>
        </w:rPr>
        <w:t xml:space="preserve">Establish a simple baseline (logistic regression with default settings) to set a minimum performance bar.</w:t>
      </w:r>
    </w:p>
    <w:p>
      <w:pPr>
        <w:pStyle w:val="ListParagraph"/>
        <w:numPr>
          <w:ilvl w:val="0"/>
          <w:numId w:val="3"/>
        </w:numPr>
        <w:spacing w:after="100"/>
      </w:pPr>
      <w:r>
        <w:rPr>
          <w:sz w:val="22"/>
          <w:szCs w:val="22"/>
        </w:rPr>
        <w:t xml:space="preserve">Train each candidate model from Section 2 using the same train/test split and preprocessing pipeline from Week 2.</w:t>
      </w:r>
    </w:p>
    <w:p>
      <w:pPr>
        <w:pStyle w:val="ListParagraph"/>
        <w:numPr>
          <w:ilvl w:val="0"/>
          <w:numId w:val="3"/>
        </w:numPr>
        <w:spacing w:after="100"/>
      </w:pPr>
      <w:r>
        <w:rPr>
          <w:sz w:val="22"/>
          <w:szCs w:val="22"/>
        </w:rPr>
        <w:t xml:space="preserve">Evaluate each model via 5-fold cross-validation on the training set, recording all metrics from Section 4.</w:t>
      </w:r>
    </w:p>
    <w:p>
      <w:pPr>
        <w:pStyle w:val="ListParagraph"/>
        <w:numPr>
          <w:ilvl w:val="0"/>
          <w:numId w:val="3"/>
        </w:numPr>
        <w:spacing w:after="100"/>
      </w:pPr>
      <w:r>
        <w:rPr>
          <w:sz w:val="22"/>
          <w:szCs w:val="22"/>
        </w:rPr>
        <w:t xml:space="preserve">Shortlist the top 2–3 performing models based on cross-validated recall and F1 score.</w:t>
      </w:r>
    </w:p>
    <w:p>
      <w:pPr>
        <w:pStyle w:val="ListParagraph"/>
        <w:numPr>
          <w:ilvl w:val="0"/>
          <w:numId w:val="3"/>
        </w:numPr>
        <w:spacing w:after="100"/>
      </w:pPr>
      <w:r>
        <w:rPr>
          <w:sz w:val="22"/>
          <w:szCs w:val="22"/>
        </w:rPr>
        <w:t xml:space="preserve">Tune hyperparameters for the shortlisted models using grid search.</w:t>
      </w:r>
    </w:p>
    <w:p>
      <w:pPr>
        <w:pStyle w:val="ListParagraph"/>
        <w:numPr>
          <w:ilvl w:val="0"/>
          <w:numId w:val="3"/>
        </w:numPr>
        <w:spacing w:after="100"/>
      </w:pPr>
      <w:r>
        <w:rPr>
          <w:sz w:val="22"/>
          <w:szCs w:val="22"/>
        </w:rPr>
        <w:t xml:space="preserve">Evaluate the tuned, shortlisted models once on the held-out test set.</w:t>
      </w:r>
    </w:p>
    <w:p>
      <w:pPr>
        <w:pStyle w:val="ListParagraph"/>
        <w:numPr>
          <w:ilvl w:val="0"/>
          <w:numId w:val="3"/>
        </w:numPr>
        <w:spacing w:after="100"/>
      </w:pPr>
      <w:r>
        <w:rPr>
          <w:sz w:val="22"/>
          <w:szCs w:val="22"/>
        </w:rPr>
        <w:t xml:space="preserve">Select the final model based on the combination of test-set performance and interpretability, documenting the trade-offs explicitly.</w:t>
      </w:r>
    </w:p>
    <w:p>
      <w:pPr>
        <w:pStyle w:val="ListParagraph"/>
        <w:numPr>
          <w:ilvl w:val="0"/>
          <w:numId w:val="3"/>
        </w:numPr>
        <w:spacing w:after="100"/>
      </w:pPr>
      <w:r>
        <w:rPr>
          <w:sz w:val="22"/>
          <w:szCs w:val="22"/>
        </w:rPr>
        <w:t xml:space="preserve">Generate a feature importance or coefficient analysis for the final model to connect back to the Week 3 EDA hypotheses.</w:t>
      </w:r>
    </w:p>
    <w:p>
      <w:pPr>
        <w:pStyle w:val="Heading1"/>
        <w:spacing w:after="160" w:before="320"/>
      </w:pPr>
      <w:r>
        <w:rPr>
          <w:b/>
          <w:bCs/>
          <w:color w:val="1F4E79"/>
        </w:rPr>
        <w:t xml:space="preserve">7. Anticipated 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DEBF7" w:val="clear"/>
            <w:tcMar>
              <w:top w:type="dxa" w:w="100"/>
              <w:left w:type="dxa" w:w="120"/>
              <w:bottom w:type="dxa" w:w="100"/>
              <w:right w:type="dxa" w:w="120"/>
            </w:tcMar>
          </w:tcPr>
          <w:p>
            <w:r>
              <w:rPr>
                <w:b/>
                <w:bCs/>
                <w:color w:val="1F4E79"/>
                <w:sz w:val="20"/>
                <w:szCs w:val="20"/>
              </w:rPr>
              <w:t xml:space="preserve">Trade-off</w:t>
            </w:r>
          </w:p>
        </w:tc>
        <w:tc>
          <w:tcPr>
            <w:tcW w:type="dxa" w:w="4800"/>
            <w:shd w:fill="DDEBF7" w:val="clear"/>
            <w:tcMar>
              <w:top w:type="dxa" w:w="100"/>
              <w:left w:type="dxa" w:w="120"/>
              <w:bottom w:type="dxa" w:w="100"/>
              <w:right w:type="dxa" w:w="120"/>
            </w:tcMar>
          </w:tcPr>
          <w:p>
            <w:r>
              <w:rPr>
                <w:b/>
                <w:bCs/>
                <w:color w:val="1F4E79"/>
                <w:sz w:val="20"/>
                <w:szCs w:val="20"/>
              </w:rPr>
              <w:t xml:space="preserve">How It Will Be Handled</w:t>
            </w:r>
          </w:p>
        </w:tc>
      </w:tr>
      <w:tr>
        <w:tc>
          <w:tcPr>
            <w:tcW w:type="dxa" w:w="4200"/>
            <w:tcMar>
              <w:top w:type="dxa" w:w="100"/>
              <w:left w:type="dxa" w:w="120"/>
              <w:bottom w:type="dxa" w:w="100"/>
              <w:right w:type="dxa" w:w="120"/>
            </w:tcMar>
          </w:tcPr>
          <w:p>
            <w:r>
              <w:rPr>
                <w:b w:val="false"/>
                <w:bCs w:val="false"/>
                <w:color w:val="222222"/>
                <w:sz w:val="20"/>
                <w:szCs w:val="20"/>
              </w:rPr>
              <w:t xml:space="preserve">Random Forest may outperform Logistic Regression on raw metrics but is harder to explain</w:t>
            </w:r>
          </w:p>
        </w:tc>
        <w:tc>
          <w:tcPr>
            <w:tcW w:type="dxa" w:w="4800"/>
            <w:tcMar>
              <w:top w:type="dxa" w:w="100"/>
              <w:left w:type="dxa" w:w="120"/>
              <w:bottom w:type="dxa" w:w="100"/>
              <w:right w:type="dxa" w:w="120"/>
            </w:tcMar>
          </w:tcPr>
          <w:p>
            <w:r>
              <w:rPr>
                <w:b w:val="false"/>
                <w:bCs w:val="false"/>
                <w:color w:val="222222"/>
                <w:sz w:val="20"/>
                <w:szCs w:val="20"/>
              </w:rPr>
              <w:t xml:space="preserve">Report both models' results; recommend Logistic Regression if the performance gap is small, given its interpretability advantage</w:t>
            </w:r>
          </w:p>
        </w:tc>
      </w:tr>
      <w:tr>
        <w:tc>
          <w:tcPr>
            <w:tcW w:type="dxa" w:w="4200"/>
            <w:tcMar>
              <w:top w:type="dxa" w:w="100"/>
              <w:left w:type="dxa" w:w="120"/>
              <w:bottom w:type="dxa" w:w="100"/>
              <w:right w:type="dxa" w:w="120"/>
            </w:tcMar>
          </w:tcPr>
          <w:p>
            <w:r>
              <w:rPr>
                <w:b w:val="false"/>
                <w:bCs w:val="false"/>
                <w:color w:val="222222"/>
                <w:sz w:val="20"/>
                <w:szCs w:val="20"/>
              </w:rPr>
              <w:t xml:space="preserve">SVM and KNN require careful scaling to perform well</w:t>
            </w:r>
          </w:p>
        </w:tc>
        <w:tc>
          <w:tcPr>
            <w:tcW w:type="dxa" w:w="4800"/>
            <w:tcMar>
              <w:top w:type="dxa" w:w="100"/>
              <w:left w:type="dxa" w:w="120"/>
              <w:bottom w:type="dxa" w:w="100"/>
              <w:right w:type="dxa" w:w="120"/>
            </w:tcMar>
          </w:tcPr>
          <w:p>
            <w:r>
              <w:rPr>
                <w:b w:val="false"/>
                <w:bCs w:val="false"/>
                <w:color w:val="222222"/>
                <w:sz w:val="20"/>
                <w:szCs w:val="20"/>
              </w:rPr>
              <w:t xml:space="preserve">Reuse the Week 2 scaling pipeline consistently across all models to keep comparisons fair</w:t>
            </w:r>
          </w:p>
        </w:tc>
      </w:tr>
      <w:tr>
        <w:tc>
          <w:tcPr>
            <w:tcW w:type="dxa" w:w="4200"/>
            <w:tcMar>
              <w:top w:type="dxa" w:w="100"/>
              <w:left w:type="dxa" w:w="120"/>
              <w:bottom w:type="dxa" w:w="100"/>
              <w:right w:type="dxa" w:w="120"/>
            </w:tcMar>
          </w:tcPr>
          <w:p>
            <w:r>
              <w:rPr>
                <w:b w:val="false"/>
                <w:bCs w:val="false"/>
                <w:color w:val="222222"/>
                <w:sz w:val="20"/>
                <w:szCs w:val="20"/>
              </w:rPr>
              <w:t xml:space="preserve">Small dataset size increases variance in performance estimates</w:t>
            </w:r>
          </w:p>
        </w:tc>
        <w:tc>
          <w:tcPr>
            <w:tcW w:type="dxa" w:w="4800"/>
            <w:tcMar>
              <w:top w:type="dxa" w:w="100"/>
              <w:left w:type="dxa" w:w="120"/>
              <w:bottom w:type="dxa" w:w="100"/>
              <w:right w:type="dxa" w:w="120"/>
            </w:tcMar>
          </w:tcPr>
          <w:p>
            <w:r>
              <w:rPr>
                <w:b w:val="false"/>
                <w:bCs w:val="false"/>
                <w:color w:val="222222"/>
                <w:sz w:val="20"/>
                <w:szCs w:val="20"/>
              </w:rPr>
              <w:t xml:space="preserve">Rely on cross-validated metrics rather than a single train/test split when comparing models</w:t>
            </w:r>
          </w:p>
        </w:tc>
      </w:tr>
      <w:tr>
        <w:tc>
          <w:tcPr>
            <w:tcW w:type="dxa" w:w="4200"/>
            <w:tcMar>
              <w:top w:type="dxa" w:w="100"/>
              <w:left w:type="dxa" w:w="120"/>
              <w:bottom w:type="dxa" w:w="100"/>
              <w:right w:type="dxa" w:w="120"/>
            </w:tcMar>
          </w:tcPr>
          <w:p>
            <w:r>
              <w:rPr>
                <w:b w:val="false"/>
                <w:bCs w:val="false"/>
                <w:color w:val="222222"/>
                <w:sz w:val="20"/>
                <w:szCs w:val="20"/>
              </w:rPr>
              <w:t xml:space="preserve">Risk of overfitting with more complex models (Random Forest, SVM with non-linear kernel)</w:t>
            </w:r>
          </w:p>
        </w:tc>
        <w:tc>
          <w:tcPr>
            <w:tcW w:type="dxa" w:w="4800"/>
            <w:tcMar>
              <w:top w:type="dxa" w:w="100"/>
              <w:left w:type="dxa" w:w="120"/>
              <w:bottom w:type="dxa" w:w="100"/>
              <w:right w:type="dxa" w:w="120"/>
            </w:tcMar>
          </w:tcPr>
          <w:p>
            <w:r>
              <w:rPr>
                <w:b w:val="false"/>
                <w:bCs w:val="false"/>
                <w:color w:val="222222"/>
                <w:sz w:val="20"/>
                <w:szCs w:val="20"/>
              </w:rPr>
              <w:t xml:space="preserve">Constrain hyperparameter search ranges (e.g., max tree depth) and monitor the gap between training and validation performance</w:t>
            </w:r>
          </w:p>
        </w:tc>
      </w:tr>
    </w:tbl>
    <w:p>
      <w:pPr>
        <w:pStyle w:val="Heading1"/>
        <w:spacing w:after="160" w:before="320"/>
      </w:pPr>
      <w:r>
        <w:rPr>
          <w:b/>
          <w:bCs/>
          <w:color w:val="1F4E79"/>
        </w:rPr>
        <w:t xml:space="preserve">8. Deliverables</w:t>
      </w:r>
    </w:p>
    <w:p>
      <w:pPr>
        <w:pStyle w:val="ListParagraph"/>
        <w:numPr>
          <w:ilvl w:val="0"/>
          <w:numId w:val="2"/>
        </w:numPr>
        <w:spacing w:after="80"/>
      </w:pPr>
      <w:r>
        <w:rPr>
          <w:sz w:val="22"/>
          <w:szCs w:val="22"/>
        </w:rPr>
        <w:t xml:space="preserve">A trained and evaluated set of candidate models with a documented comparison table of all metrics.</w:t>
      </w:r>
    </w:p>
    <w:p>
      <w:pPr>
        <w:pStyle w:val="ListParagraph"/>
        <w:numPr>
          <w:ilvl w:val="0"/>
          <w:numId w:val="2"/>
        </w:numPr>
        <w:spacing w:after="80"/>
      </w:pPr>
      <w:r>
        <w:rPr>
          <w:sz w:val="22"/>
          <w:szCs w:val="22"/>
        </w:rPr>
        <w:t xml:space="preserve">A final selected model with justification for its selection over the alternatives.</w:t>
      </w:r>
    </w:p>
    <w:p>
      <w:pPr>
        <w:pStyle w:val="ListParagraph"/>
        <w:numPr>
          <w:ilvl w:val="0"/>
          <w:numId w:val="2"/>
        </w:numPr>
        <w:spacing w:after="80"/>
      </w:pPr>
      <w:r>
        <w:rPr>
          <w:sz w:val="22"/>
          <w:szCs w:val="22"/>
        </w:rPr>
        <w:t xml:space="preserve">A feature importance / coefficient summary connecting the model's decisions back to the EDA insights from Week 3.</w:t>
      </w:r>
    </w:p>
    <w:p>
      <w:pPr>
        <w:pStyle w:val="ListParagraph"/>
        <w:numPr>
          <w:ilvl w:val="0"/>
          <w:numId w:val="2"/>
        </w:numPr>
        <w:spacing w:after="80"/>
      </w:pPr>
      <w:r>
        <w:rPr>
          <w:sz w:val="22"/>
          <w:szCs w:val="22"/>
        </w:rPr>
        <w:t xml:space="preserve">A short discussion of the model's limitations and the conditions under which it should not be trusted (e.g., patient profiles very different from the training data).</w:t>
      </w:r>
    </w:p>
    <w:p>
      <w:pPr>
        <w:pStyle w:val="Heading1"/>
        <w:spacing w:after="160" w:before="320"/>
      </w:pPr>
      <w:r>
        <w:rPr>
          <w:b/>
          <w:bCs/>
          <w:color w:val="1F4E79"/>
        </w:rPr>
        <w:t xml:space="preserve">9. Conclusion</w:t>
      </w:r>
    </w:p>
    <w:p>
      <w:pPr>
        <w:spacing w:after="160"/>
      </w:pPr>
      <w:r>
        <w:rPr>
          <w:sz w:val="22"/>
          <w:szCs w:val="22"/>
        </w:rPr>
        <w:t xml:space="preserve">This plan sets out a disciplined, metric-driven approach to selecting a classification model for the Disease Prediction System. By comparing multiple model families against a consistent set of clinically relevant metrics — with particular weight given to recall — and by validating rigorously through cross-validation and a untouched final test set, the resulting model selection will be defensible, reproducible, and appropriately cautious about its own limitations. This completes the four-week arc of the project: from planning, through cleaning and exploration, to a final evaluated model and report.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2026-09-02T06:06:48.268Z</dcterms:created>
  <dcterms:modified xsi:type="dcterms:W3CDTF">2026-09-02T06:06:48.268Z</dcterms:modified>
</cp:coreProperties>
</file>

<file path=docProps/custom.xml><?xml version="1.0" encoding="utf-8"?>
<Properties xmlns="http://schemas.openxmlformats.org/officeDocument/2006/custom-properties" xmlns:vt="http://schemas.openxmlformats.org/officeDocument/2006/docPropsVTypes"/>
</file>