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444444"/>
          <w:sz w:val="26"/>
          <w:szCs w:val="26"/>
        </w:rPr>
        <w:t xml:space="preserve">Week 1: Project Planning and Dataset Scoping</w:t>
      </w:r>
    </w:p>
    <w:p>
      <w:pPr>
        <w:spacing w:after="80"/>
        <w:jc w:val="center"/>
      </w:pPr>
      <w:r>
        <w:rPr>
          <w:color w:val="555555"/>
          <w:sz w:val="22"/>
          <w:szCs w:val="22"/>
        </w:rPr>
        <w:t xml:space="preserve">Virtual Data Science Apprentice – Python Specialist Intern</w:t>
      </w:r>
    </w:p>
    <w:p>
      <w:pPr>
        <w:spacing w:after="80"/>
        <w:jc w:val="center"/>
      </w:pPr>
      <w:r>
        <w:rPr>
          <w:color w:val="555555"/>
          <w:sz w:val="22"/>
          <w:szCs w:val="22"/>
        </w:rPr>
        <w:t xml:space="preserve">NSDC YuvaIntern Virtual Internship Program</w:t>
      </w:r>
    </w:p>
    <w:p>
      <w:pPr>
        <w:spacing w:after="80"/>
        <w:jc w:val="center"/>
      </w:pPr>
      <w:r>
        <w:rPr>
          <w:color w:val="555555"/>
          <w:sz w:val="22"/>
          <w:szCs w:val="22"/>
        </w:rPr>
        <w:t xml:space="preserve">Submitted by: [Your Name]</w:t>
      </w:r>
    </w:p>
    <w:p>
      <w:pPr>
        <w:spacing w:after="80"/>
        <w:jc w:val="center"/>
      </w:pPr>
      <w:r>
        <w:rPr>
          <w:color w:val="555555"/>
          <w:sz w:val="22"/>
          <w:szCs w:val="22"/>
        </w:rPr>
        <w:t xml:space="preserve">Date: [Submission Date]</w:t>
      </w:r>
    </w:p>
    <w:p>
      <w:r>
        <w:br w:type="page"/>
      </w:r>
    </w:p>
    <w:p>
      <w:pPr>
        <w:pStyle w:val="Heading1"/>
        <w:spacing w:after="160" w:before="320"/>
      </w:pPr>
      <w:r>
        <w:rPr>
          <w:b/>
          <w:bCs/>
          <w:color w:val="1F4E79"/>
        </w:rPr>
        <w:t xml:space="preserve">1. Introduction</w:t>
      </w:r>
    </w:p>
    <w:p>
      <w:pPr>
        <w:spacing w:after="160"/>
      </w:pPr>
      <w:r>
        <w:rPr>
          <w:sz w:val="22"/>
          <w:szCs w:val="22"/>
        </w:rPr>
        <w:t xml:space="preserve">Cardiovascular disease, diabetes, and other chronic conditions remain among the leading causes of preventable death worldwide, and early risk detection is one of the areas where data science and machine learning can have direct, practical impact. This document presents the project proposal for a Disease Prediction System, a Python-based data science project that uses publicly available clinical datasets to build a model capable of estimating a patient's likelihood of having a particular disease based on measurable health indicators. The proposal covers the project's objectives and scope, the datasets under consideration, anticipated challenges, and the high-level workflow that will guide the analysis from data acquisition through to final reporting.</w:t>
      </w:r>
    </w:p>
    <w:p>
      <w:pPr>
        <w:pStyle w:val="Heading1"/>
        <w:spacing w:after="160" w:before="320"/>
      </w:pPr>
      <w:r>
        <w:rPr>
          <w:b/>
          <w:bCs/>
          <w:color w:val="1F4E79"/>
        </w:rPr>
        <w:t xml:space="preserve">2. Project Objectives</w:t>
      </w:r>
    </w:p>
    <w:p>
      <w:pPr>
        <w:pStyle w:val="ListParagraph"/>
        <w:numPr>
          <w:ilvl w:val="0"/>
          <w:numId w:val="2"/>
        </w:numPr>
        <w:spacing w:after="80"/>
      </w:pPr>
      <w:r>
        <w:rPr>
          <w:sz w:val="22"/>
          <w:szCs w:val="22"/>
        </w:rPr>
        <w:t xml:space="preserve">Build a reproducible Python pipeline that predicts the presence or risk level of a target disease from structured patient health data.</w:t>
      </w:r>
    </w:p>
    <w:p>
      <w:pPr>
        <w:pStyle w:val="ListParagraph"/>
        <w:numPr>
          <w:ilvl w:val="0"/>
          <w:numId w:val="2"/>
        </w:numPr>
        <w:spacing w:after="80"/>
      </w:pPr>
      <w:r>
        <w:rPr>
          <w:sz w:val="22"/>
          <w:szCs w:val="22"/>
        </w:rPr>
        <w:t xml:space="preserve">Identify which clinical and lifestyle features are most strongly associated with the disease outcome.</w:t>
      </w:r>
    </w:p>
    <w:p>
      <w:pPr>
        <w:pStyle w:val="ListParagraph"/>
        <w:numPr>
          <w:ilvl w:val="0"/>
          <w:numId w:val="2"/>
        </w:numPr>
        <w:spacing w:after="80"/>
      </w:pPr>
      <w:r>
        <w:rPr>
          <w:sz w:val="22"/>
          <w:szCs w:val="22"/>
        </w:rPr>
        <w:t xml:space="preserve">Compare multiple classification approaches and select the one that balances predictive accuracy with interpretability, which matters in a healthcare context.</w:t>
      </w:r>
    </w:p>
    <w:p>
      <w:pPr>
        <w:pStyle w:val="ListParagraph"/>
        <w:numPr>
          <w:ilvl w:val="0"/>
          <w:numId w:val="2"/>
        </w:numPr>
        <w:spacing w:after="80"/>
      </w:pPr>
      <w:r>
        <w:rPr>
          <w:sz w:val="22"/>
          <w:szCs w:val="22"/>
        </w:rPr>
        <w:t xml:space="preserve">Produce a clear, well-documented report that a non-technical stakeholder (e.g., a clinician or program reviewer) could follow.</w:t>
      </w:r>
    </w:p>
    <w:p>
      <w:pPr>
        <w:pStyle w:val="ListParagraph"/>
        <w:numPr>
          <w:ilvl w:val="0"/>
          <w:numId w:val="2"/>
        </w:numPr>
        <w:spacing w:after="80"/>
      </w:pPr>
      <w:r>
        <w:rPr>
          <w:sz w:val="22"/>
          <w:szCs w:val="22"/>
        </w:rPr>
        <w:t xml:space="preserve">Develop personal proficiency in the end-to-end Python data science workflow: acquisition, cleaning, EDA, modelling, and evaluation.</w:t>
      </w:r>
    </w:p>
    <w:p>
      <w:pPr>
        <w:pStyle w:val="Heading1"/>
        <w:spacing w:after="160" w:before="320"/>
      </w:pPr>
      <w:r>
        <w:rPr>
          <w:b/>
          <w:bCs/>
          <w:color w:val="1F4E79"/>
        </w:rPr>
        <w:t xml:space="preserve">3. Scope of the Project</w:t>
      </w:r>
    </w:p>
    <w:p>
      <w:pPr>
        <w:spacing w:after="160"/>
      </w:pPr>
      <w:r>
        <w:rPr>
          <w:sz w:val="22"/>
          <w:szCs w:val="22"/>
        </w:rPr>
        <w:t xml:space="preserve">The project is scoped as an educational, portfolio-style data science exercise rather than a clinical-grade diagnostic tool. It will:</w:t>
      </w:r>
    </w:p>
    <w:p>
      <w:pPr>
        <w:pStyle w:val="ListParagraph"/>
        <w:numPr>
          <w:ilvl w:val="0"/>
          <w:numId w:val="2"/>
        </w:numPr>
        <w:spacing w:after="80"/>
      </w:pPr>
      <w:r>
        <w:rPr>
          <w:sz w:val="22"/>
          <w:szCs w:val="22"/>
        </w:rPr>
        <w:t xml:space="preserve">Use only publicly available, de-identified datasets — no real patient data will be collected or used.</w:t>
      </w:r>
    </w:p>
    <w:p>
      <w:pPr>
        <w:pStyle w:val="ListParagraph"/>
        <w:numPr>
          <w:ilvl w:val="0"/>
          <w:numId w:val="2"/>
        </w:numPr>
        <w:spacing w:after="80"/>
      </w:pPr>
      <w:r>
        <w:rPr>
          <w:sz w:val="22"/>
          <w:szCs w:val="22"/>
        </w:rPr>
        <w:t xml:space="preserve">Focus on a single, well-defined disease-prediction problem (heart disease risk) to keep the analysis manageable within the internship timeline.</w:t>
      </w:r>
    </w:p>
    <w:p>
      <w:pPr>
        <w:pStyle w:val="ListParagraph"/>
        <w:numPr>
          <w:ilvl w:val="0"/>
          <w:numId w:val="2"/>
        </w:numPr>
        <w:spacing w:after="80"/>
      </w:pPr>
      <w:r>
        <w:rPr>
          <w:sz w:val="22"/>
          <w:szCs w:val="22"/>
        </w:rPr>
        <w:t xml:space="preserve">Cover the full pipeline conceptually and practically in Python: data loading, cleaning, exploratory analysis, feature engineering, model training, and evaluation.</w:t>
      </w:r>
    </w:p>
    <w:p>
      <w:pPr>
        <w:pStyle w:val="ListParagraph"/>
        <w:numPr>
          <w:ilvl w:val="0"/>
          <w:numId w:val="2"/>
        </w:numPr>
        <w:spacing w:after="80"/>
      </w:pPr>
      <w:r>
        <w:rPr>
          <w:sz w:val="22"/>
          <w:szCs w:val="22"/>
        </w:rPr>
        <w:t xml:space="preserve">Exclude deployment as a live clinical application, real-time data pipelines, and regulatory/compliance work (e.g., HIPAA), which are out of scope for a 4-week learning project.</w:t>
      </w:r>
    </w:p>
    <w:p>
      <w:pPr>
        <w:spacing w:after="160"/>
      </w:pPr>
      <w:r>
        <w:rPr>
          <w:sz w:val="22"/>
          <w:szCs w:val="22"/>
        </w:rPr>
        <w:t xml:space="preserve">A note on framing: predictions generated by this project are for learning and demonstration purposes only and are not a substitute for professional medical advice or diagnosis.</w:t>
      </w:r>
    </w:p>
    <w:p>
      <w:pPr>
        <w:pStyle w:val="Heading1"/>
        <w:spacing w:after="160" w:before="320"/>
      </w:pPr>
      <w:r>
        <w:rPr>
          <w:b/>
          <w:bCs/>
          <w:color w:val="1F4E79"/>
        </w:rPr>
        <w:t xml:space="preserve">4. Problem Statement</w:t>
      </w:r>
    </w:p>
    <w:p>
      <w:pPr>
        <w:spacing w:after="160"/>
      </w:pPr>
      <w:r>
        <w:rPr>
          <w:sz w:val="22"/>
          <w:szCs w:val="22"/>
        </w:rPr>
        <w:t xml:space="preserve">Given a set of patient-level clinical measurements (such as age, blood pressure, cholesterol levels, resting ECG results, and other risk indicators), can a machine learning model reliably classify whether a patient is at risk of heart disease? The project treats this as a binary classification problem and aims to quantify how well different Python-based modelling approaches perform against it.</w:t>
      </w:r>
    </w:p>
    <w:p>
      <w:pPr>
        <w:pStyle w:val="Heading1"/>
        <w:spacing w:after="160" w:before="320"/>
      </w:pPr>
      <w:r>
        <w:rPr>
          <w:b/>
          <w:bCs/>
          <w:color w:val="1F4E79"/>
        </w:rPr>
        <w:t xml:space="preserve">5. Candidate Public Datasets</w:t>
      </w:r>
    </w:p>
    <w:p>
      <w:pPr>
        <w:spacing w:after="160"/>
      </w:pPr>
      <w:r>
        <w:rPr>
          <w:sz w:val="22"/>
          <w:szCs w:val="22"/>
        </w:rPr>
        <w:t xml:space="preserve">Several well-known, freely available healthcare datasets were reviewed as candidates for this project. The table below summarises the shortlist and the rationale for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c>
          <w:tcPr>
            <w:tcW w:type="dxa" w:w="3800"/>
            <w:shd w:fill="DDEBF7" w:val="clear"/>
            <w:tcMar>
              <w:top w:type="dxa" w:w="100"/>
              <w:left w:type="dxa" w:w="120"/>
              <w:bottom w:type="dxa" w:w="100"/>
              <w:right w:type="dxa" w:w="120"/>
            </w:tcMar>
          </w:tcPr>
          <w:p>
            <w:r>
              <w:rPr>
                <w:b/>
                <w:bCs/>
                <w:color w:val="1F4E79"/>
                <w:sz w:val="20"/>
                <w:szCs w:val="20"/>
              </w:rPr>
              <w:t xml:space="preserve">Dataset</w:t>
            </w:r>
          </w:p>
        </w:tc>
        <w:tc>
          <w:tcPr>
            <w:tcW w:type="dxa" w:w="2600"/>
            <w:shd w:fill="DDEBF7" w:val="clear"/>
            <w:tcMar>
              <w:top w:type="dxa" w:w="100"/>
              <w:left w:type="dxa" w:w="120"/>
              <w:bottom w:type="dxa" w:w="100"/>
              <w:right w:type="dxa" w:w="120"/>
            </w:tcMar>
          </w:tcPr>
          <w:p>
            <w:r>
              <w:rPr>
                <w:b/>
                <w:bCs/>
                <w:color w:val="1F4E79"/>
                <w:sz w:val="20"/>
                <w:szCs w:val="20"/>
              </w:rPr>
              <w:t xml:space="preserve">Source</w:t>
            </w:r>
          </w:p>
        </w:tc>
        <w:tc>
          <w:tcPr>
            <w:tcW w:type="dxa" w:w="2600"/>
            <w:shd w:fill="DDEBF7" w:val="clear"/>
            <w:tcMar>
              <w:top w:type="dxa" w:w="100"/>
              <w:left w:type="dxa" w:w="120"/>
              <w:bottom w:type="dxa" w:w="100"/>
              <w:right w:type="dxa" w:w="120"/>
            </w:tcMar>
          </w:tcPr>
          <w:p>
            <w:r>
              <w:rPr>
                <w:b/>
                <w:bCs/>
                <w:color w:val="1F4E79"/>
                <w:sz w:val="20"/>
                <w:szCs w:val="20"/>
              </w:rPr>
              <w:t xml:space="preserve">Rationale</w:t>
            </w:r>
          </w:p>
        </w:tc>
      </w:tr>
      <w:tr>
        <w:tc>
          <w:tcPr>
            <w:tcW w:type="dxa" w:w="3800"/>
            <w:tcMar>
              <w:top w:type="dxa" w:w="100"/>
              <w:left w:type="dxa" w:w="120"/>
              <w:bottom w:type="dxa" w:w="100"/>
              <w:right w:type="dxa" w:w="120"/>
            </w:tcMar>
          </w:tcPr>
          <w:p>
            <w:r>
              <w:rPr>
                <w:b w:val="false"/>
                <w:bCs w:val="false"/>
                <w:color w:val="222222"/>
                <w:sz w:val="20"/>
                <w:szCs w:val="20"/>
              </w:rPr>
              <w:t xml:space="preserve">UCI Heart Disease Dataset (Cleveland subset)</w:t>
            </w:r>
          </w:p>
        </w:tc>
        <w:tc>
          <w:tcPr>
            <w:tcW w:type="dxa" w:w="2600"/>
            <w:tcMar>
              <w:top w:type="dxa" w:w="100"/>
              <w:left w:type="dxa" w:w="120"/>
              <w:bottom w:type="dxa" w:w="100"/>
              <w:right w:type="dxa" w:w="120"/>
            </w:tcMar>
          </w:tcPr>
          <w:p>
            <w:r>
              <w:rPr>
                <w:b w:val="false"/>
                <w:bCs w:val="false"/>
                <w:color w:val="222222"/>
                <w:sz w:val="20"/>
                <w:szCs w:val="20"/>
              </w:rPr>
              <w:t xml:space="preserve">UCI Machine Learning Repository / Kaggle mirror</w:t>
            </w:r>
          </w:p>
        </w:tc>
        <w:tc>
          <w:tcPr>
            <w:tcW w:type="dxa" w:w="2600"/>
            <w:tcMar>
              <w:top w:type="dxa" w:w="100"/>
              <w:left w:type="dxa" w:w="120"/>
              <w:bottom w:type="dxa" w:w="100"/>
              <w:right w:type="dxa" w:w="120"/>
            </w:tcMar>
          </w:tcPr>
          <w:p>
            <w:r>
              <w:rPr>
                <w:b w:val="false"/>
                <w:bCs w:val="false"/>
                <w:color w:val="222222"/>
                <w:sz w:val="20"/>
                <w:szCs w:val="20"/>
              </w:rPr>
              <w:t xml:space="preserve">Widely used benchmark for binary classification; 13–14 well-documented clinical features; small enough to process quickly; strong community reference material for validating results.</w:t>
            </w:r>
          </w:p>
        </w:tc>
      </w:tr>
      <w:tr>
        <w:tc>
          <w:tcPr>
            <w:tcW w:type="dxa" w:w="3800"/>
            <w:tcMar>
              <w:top w:type="dxa" w:w="100"/>
              <w:left w:type="dxa" w:w="120"/>
              <w:bottom w:type="dxa" w:w="100"/>
              <w:right w:type="dxa" w:w="120"/>
            </w:tcMar>
          </w:tcPr>
          <w:p>
            <w:r>
              <w:rPr>
                <w:b w:val="false"/>
                <w:bCs w:val="false"/>
                <w:color w:val="222222"/>
                <w:sz w:val="20"/>
                <w:szCs w:val="20"/>
              </w:rPr>
              <w:t xml:space="preserve">Pima Indians Diabetes Dataset</w:t>
            </w:r>
          </w:p>
        </w:tc>
        <w:tc>
          <w:tcPr>
            <w:tcW w:type="dxa" w:w="2600"/>
            <w:tcMar>
              <w:top w:type="dxa" w:w="100"/>
              <w:left w:type="dxa" w:w="120"/>
              <w:bottom w:type="dxa" w:w="100"/>
              <w:right w:type="dxa" w:w="120"/>
            </w:tcMar>
          </w:tcPr>
          <w:p>
            <w:r>
              <w:rPr>
                <w:b w:val="false"/>
                <w:bCs w:val="false"/>
                <w:color w:val="222222"/>
                <w:sz w:val="20"/>
                <w:szCs w:val="20"/>
              </w:rPr>
              <w:t xml:space="preserve">UCI Machine Learning Repository / Kaggle</w:t>
            </w:r>
          </w:p>
        </w:tc>
        <w:tc>
          <w:tcPr>
            <w:tcW w:type="dxa" w:w="2600"/>
            <w:tcMar>
              <w:top w:type="dxa" w:w="100"/>
              <w:left w:type="dxa" w:w="120"/>
              <w:bottom w:type="dxa" w:w="100"/>
              <w:right w:type="dxa" w:w="120"/>
            </w:tcMar>
          </w:tcPr>
          <w:p>
            <w:r>
              <w:rPr>
                <w:b w:val="false"/>
                <w:bCs w:val="false"/>
                <w:color w:val="222222"/>
                <w:sz w:val="20"/>
                <w:szCs w:val="20"/>
              </w:rPr>
              <w:t xml:space="preserve">Backup option focused on diabetes risk; useful if additional comparative analysis is desired; known data-quality quirks (zero-value placeholders) make it a good secondary case for the Week 2 cleaning task.</w:t>
            </w:r>
          </w:p>
        </w:tc>
      </w:tr>
      <w:tr>
        <w:tc>
          <w:tcPr>
            <w:tcW w:type="dxa" w:w="3800"/>
            <w:tcMar>
              <w:top w:type="dxa" w:w="100"/>
              <w:left w:type="dxa" w:w="120"/>
              <w:bottom w:type="dxa" w:w="100"/>
              <w:right w:type="dxa" w:w="120"/>
            </w:tcMar>
          </w:tcPr>
          <w:p>
            <w:r>
              <w:rPr>
                <w:b w:val="false"/>
                <w:bCs w:val="false"/>
                <w:color w:val="222222"/>
                <w:sz w:val="20"/>
                <w:szCs w:val="20"/>
              </w:rPr>
              <w:t xml:space="preserve">Framingham Heart Study Dataset</w:t>
            </w:r>
          </w:p>
        </w:tc>
        <w:tc>
          <w:tcPr>
            <w:tcW w:type="dxa" w:w="2600"/>
            <w:tcMar>
              <w:top w:type="dxa" w:w="100"/>
              <w:left w:type="dxa" w:w="120"/>
              <w:bottom w:type="dxa" w:w="100"/>
              <w:right w:type="dxa" w:w="120"/>
            </w:tcMar>
          </w:tcPr>
          <w:p>
            <w:r>
              <w:rPr>
                <w:b w:val="false"/>
                <w:bCs w:val="false"/>
                <w:color w:val="222222"/>
                <w:sz w:val="20"/>
                <w:szCs w:val="20"/>
              </w:rPr>
              <w:t xml:space="preserve">Kaggle (public release)</w:t>
            </w:r>
          </w:p>
        </w:tc>
        <w:tc>
          <w:tcPr>
            <w:tcW w:type="dxa" w:w="2600"/>
            <w:tcMar>
              <w:top w:type="dxa" w:w="100"/>
              <w:left w:type="dxa" w:w="120"/>
              <w:bottom w:type="dxa" w:w="100"/>
              <w:right w:type="dxa" w:w="120"/>
            </w:tcMar>
          </w:tcPr>
          <w:p>
            <w:r>
              <w:rPr>
                <w:b w:val="false"/>
                <w:bCs w:val="false"/>
                <w:color w:val="222222"/>
                <w:sz w:val="20"/>
                <w:szCs w:val="20"/>
              </w:rPr>
              <w:t xml:space="preserve">Larger longitudinal dataset with more features; considered for extended analysis if time permits, though it requires more extensive cleaning.</w:t>
            </w:r>
          </w:p>
        </w:tc>
      </w:tr>
    </w:tbl>
    <w:p>
      <w:pPr>
        <w:spacing w:after="160"/>
      </w:pPr>
      <w:r>
        <w:rPr>
          <w:sz w:val="22"/>
          <w:szCs w:val="22"/>
        </w:rPr>
        <w:t xml:space="preserve">Primary selection: the UCI Heart Disease dataset (Cleveland subset) is selected as the primary dataset for this project because it is small, clean enough to be tractable within the internship timeline, has clearly documented features (age, sex, chest pain type, resting blood pressure, cholesterol, fasting blood sugar, ECG results, max heart rate, exercise-induced angina, and more), and is a standard reference point that makes it easy to sanity-check results against published benchmarks.</w:t>
      </w:r>
    </w:p>
    <w:p>
      <w:pPr>
        <w:pStyle w:val="Heading1"/>
        <w:spacing w:after="160" w:before="320"/>
      </w:pPr>
      <w:r>
        <w:rPr>
          <w:b/>
          <w:bCs/>
          <w:color w:val="1F4E79"/>
        </w:rPr>
        <w:t xml:space="preserve">6. High-Level Workflow</w:t>
      </w:r>
    </w:p>
    <w:p>
      <w:pPr>
        <w:spacing w:after="160"/>
      </w:pPr>
      <w:r>
        <w:rPr>
          <w:sz w:val="22"/>
          <w:szCs w:val="22"/>
        </w:rPr>
        <w:t xml:space="preserve">The analytical process will proceed through the following stages, each of which corresponds to one week of the internship:</w:t>
      </w:r>
    </w:p>
    <w:p>
      <w:pPr>
        <w:pStyle w:val="ListParagraph"/>
        <w:numPr>
          <w:ilvl w:val="0"/>
          <w:numId w:val="3"/>
        </w:numPr>
        <w:spacing w:after="100"/>
      </w:pPr>
      <w:r>
        <w:rPr>
          <w:sz w:val="22"/>
          <w:szCs w:val="22"/>
        </w:rPr>
        <w:t xml:space="preserve">Data Acquisition &amp; Scoping (Week 1): Source the dataset, understand its structure, define objectives, and document the plan (this document).</w:t>
      </w:r>
    </w:p>
    <w:p>
      <w:pPr>
        <w:pStyle w:val="ListParagraph"/>
        <w:numPr>
          <w:ilvl w:val="0"/>
          <w:numId w:val="3"/>
        </w:numPr>
        <w:spacing w:after="100"/>
      </w:pPr>
      <w:r>
        <w:rPr>
          <w:sz w:val="22"/>
          <w:szCs w:val="22"/>
        </w:rPr>
        <w:t xml:space="preserve">Data Cleaning &amp; Transformation (Week 2): Handle missing values, duplicates, and outliers; encode categorical variables; scale numerical features.</w:t>
      </w:r>
    </w:p>
    <w:p>
      <w:pPr>
        <w:pStyle w:val="ListParagraph"/>
        <w:numPr>
          <w:ilvl w:val="0"/>
          <w:numId w:val="3"/>
        </w:numPr>
        <w:spacing w:after="100"/>
      </w:pPr>
      <w:r>
        <w:rPr>
          <w:sz w:val="22"/>
          <w:szCs w:val="22"/>
        </w:rPr>
        <w:t xml:space="preserve">Exploratory Data Analysis &amp; Visualization (Week 3): Study feature distributions, correlations, and relationships with the target variable using matplotlib and seaborn.</w:t>
      </w:r>
    </w:p>
    <w:p>
      <w:pPr>
        <w:pStyle w:val="ListParagraph"/>
        <w:numPr>
          <w:ilvl w:val="0"/>
          <w:numId w:val="3"/>
        </w:numPr>
        <w:spacing w:after="100"/>
      </w:pPr>
      <w:r>
        <w:rPr>
          <w:sz w:val="22"/>
          <w:szCs w:val="22"/>
        </w:rPr>
        <w:t xml:space="preserve">Model Selection, Training &amp; Evaluation (Week 4): Train candidate classification models, tune hyperparameters, and evaluate using appropriate metrics.</w:t>
      </w:r>
    </w:p>
    <w:p>
      <w:pPr>
        <w:spacing w:after="160"/>
      </w:pPr>
      <w:r>
        <w:rPr>
          <w:sz w:val="22"/>
          <w:szCs w:val="22"/>
        </w:rPr>
        <w:t xml:space="preserve">Within each stage, a validation checkpoint will confirm that the data or model at that point meets the quality bar needed to move forward — for example, confirming no unexplained missing values remain before EDA begins, or confirming a stable train/validation split before model comparison begins.</w:t>
      </w:r>
    </w:p>
    <w:p>
      <w:pPr>
        <w:pStyle w:val="Heading1"/>
        <w:spacing w:after="160" w:before="320"/>
      </w:pPr>
      <w:r>
        <w:rPr>
          <w:b/>
          <w:bCs/>
          <w:color w:val="1F4E79"/>
        </w:rPr>
        <w:t xml:space="preserve">7. Methodologies and Tools</w:t>
      </w:r>
    </w:p>
    <w:p>
      <w:pPr>
        <w:pStyle w:val="Heading2"/>
        <w:spacing w:after="120" w:before="220"/>
      </w:pPr>
      <w:r>
        <w:rPr>
          <w:b/>
          <w:bCs/>
          <w:color w:val="2E75B6"/>
        </w:rPr>
        <w:t xml:space="preserve">7.1 Python Libraries</w:t>
      </w:r>
    </w:p>
    <w:p>
      <w:pPr>
        <w:pStyle w:val="ListParagraph"/>
        <w:numPr>
          <w:ilvl w:val="0"/>
          <w:numId w:val="2"/>
        </w:numPr>
        <w:spacing w:after="80"/>
      </w:pPr>
      <w:r>
        <w:rPr>
          <w:sz w:val="22"/>
          <w:szCs w:val="22"/>
        </w:rPr>
        <w:t xml:space="preserve">pandas and numpy — data loading, manipulation, and numerical operations.</w:t>
      </w:r>
    </w:p>
    <w:p>
      <w:pPr>
        <w:pStyle w:val="ListParagraph"/>
        <w:numPr>
          <w:ilvl w:val="0"/>
          <w:numId w:val="2"/>
        </w:numPr>
        <w:spacing w:after="80"/>
      </w:pPr>
      <w:r>
        <w:rPr>
          <w:sz w:val="22"/>
          <w:szCs w:val="22"/>
        </w:rPr>
        <w:t xml:space="preserve">matplotlib and seaborn — exploratory visualizations and result plots.</w:t>
      </w:r>
    </w:p>
    <w:p>
      <w:pPr>
        <w:pStyle w:val="ListParagraph"/>
        <w:numPr>
          <w:ilvl w:val="0"/>
          <w:numId w:val="2"/>
        </w:numPr>
        <w:spacing w:after="80"/>
      </w:pPr>
      <w:r>
        <w:rPr>
          <w:sz w:val="22"/>
          <w:szCs w:val="22"/>
        </w:rPr>
        <w:t xml:space="preserve">scikit-learn — preprocessing (scaling, encoding), model training (logistic regression, decision trees, random forest, SVM, KNN), and evaluation metrics.</w:t>
      </w:r>
    </w:p>
    <w:p>
      <w:pPr>
        <w:pStyle w:val="ListParagraph"/>
        <w:numPr>
          <w:ilvl w:val="0"/>
          <w:numId w:val="2"/>
        </w:numPr>
        <w:spacing w:after="80"/>
      </w:pPr>
      <w:r>
        <w:rPr>
          <w:sz w:val="22"/>
          <w:szCs w:val="22"/>
        </w:rPr>
        <w:t xml:space="preserve">Jupyter Notebook — interactive development environment for iterative analysis.</w:t>
      </w:r>
    </w:p>
    <w:p>
      <w:pPr>
        <w:pStyle w:val="Heading2"/>
        <w:spacing w:after="120" w:before="220"/>
      </w:pPr>
      <w:r>
        <w:rPr>
          <w:b/>
          <w:bCs/>
          <w:color w:val="2E75B6"/>
        </w:rPr>
        <w:t xml:space="preserve">7.2 Methodological Approach</w:t>
      </w:r>
    </w:p>
    <w:p>
      <w:pPr>
        <w:pStyle w:val="ListParagraph"/>
        <w:numPr>
          <w:ilvl w:val="0"/>
          <w:numId w:val="2"/>
        </w:numPr>
        <w:spacing w:after="80"/>
      </w:pPr>
      <w:r>
        <w:rPr>
          <w:sz w:val="22"/>
          <w:szCs w:val="22"/>
        </w:rPr>
        <w:t xml:space="preserve">Descriptive statistics and visual exploration before any modelling decisions are made.</w:t>
      </w:r>
    </w:p>
    <w:p>
      <w:pPr>
        <w:pStyle w:val="ListParagraph"/>
        <w:numPr>
          <w:ilvl w:val="0"/>
          <w:numId w:val="2"/>
        </w:numPr>
        <w:spacing w:after="80"/>
      </w:pPr>
      <w:r>
        <w:rPr>
          <w:sz w:val="22"/>
          <w:szCs w:val="22"/>
        </w:rPr>
        <w:t xml:space="preserve">A held-out test set (e.g., 20% of records) kept separate from training and validation to give an honest final performance estimate.</w:t>
      </w:r>
    </w:p>
    <w:p>
      <w:pPr>
        <w:pStyle w:val="ListParagraph"/>
        <w:numPr>
          <w:ilvl w:val="0"/>
          <w:numId w:val="2"/>
        </w:numPr>
        <w:spacing w:after="80"/>
      </w:pPr>
      <w:r>
        <w:rPr>
          <w:sz w:val="22"/>
          <w:szCs w:val="22"/>
        </w:rPr>
        <w:t xml:space="preserve">Cross-validation during model selection to reduce the risk of overfitting to a single train/test split.</w:t>
      </w:r>
    </w:p>
    <w:p>
      <w:pPr>
        <w:pStyle w:val="ListParagraph"/>
        <w:numPr>
          <w:ilvl w:val="0"/>
          <w:numId w:val="2"/>
        </w:numPr>
        <w:spacing w:after="80"/>
      </w:pPr>
      <w:r>
        <w:rPr>
          <w:sz w:val="22"/>
          <w:szCs w:val="22"/>
        </w:rPr>
        <w:t xml:space="preserve">Multiple evaluation metrics (not just accuracy) since misclassifying a genuinely at-risk patient is more costly than a false alarm.</w:t>
      </w:r>
    </w:p>
    <w:p>
      <w:pPr>
        <w:pStyle w:val="Heading1"/>
        <w:spacing w:after="160" w:before="320"/>
      </w:pPr>
      <w:r>
        <w:rPr>
          <w:b/>
          <w:bCs/>
          <w:color w:val="1F4E79"/>
        </w:rPr>
        <w:t xml:space="preserve">8. Anticipated Challenges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DEBF7" w:val="clear"/>
            <w:tcMar>
              <w:top w:type="dxa" w:w="100"/>
              <w:left w:type="dxa" w:w="120"/>
              <w:bottom w:type="dxa" w:w="100"/>
              <w:right w:type="dxa" w:w="120"/>
            </w:tcMar>
          </w:tcPr>
          <w:p>
            <w:r>
              <w:rPr>
                <w:b/>
                <w:bCs/>
                <w:color w:val="1F4E79"/>
                <w:sz w:val="20"/>
                <w:szCs w:val="20"/>
              </w:rPr>
              <w:t xml:space="preserve">Challenge</w:t>
            </w:r>
          </w:p>
        </w:tc>
        <w:tc>
          <w:tcPr>
            <w:tcW w:type="dxa" w:w="5400"/>
            <w:shd w:fill="DDEBF7" w:val="clear"/>
            <w:tcMar>
              <w:top w:type="dxa" w:w="100"/>
              <w:left w:type="dxa" w:w="120"/>
              <w:bottom w:type="dxa" w:w="100"/>
              <w:right w:type="dxa" w:w="120"/>
            </w:tcMar>
          </w:tcPr>
          <w:p>
            <w:r>
              <w:rPr>
                <w:b/>
                <w:bCs/>
                <w:color w:val="1F4E79"/>
                <w:sz w:val="20"/>
                <w:szCs w:val="20"/>
              </w:rPr>
              <w:t xml:space="preserve">Mitigation Strategy</w:t>
            </w:r>
          </w:p>
        </w:tc>
      </w:tr>
      <w:tr>
        <w:tc>
          <w:tcPr>
            <w:tcW w:type="dxa" w:w="3600"/>
            <w:tcMar>
              <w:top w:type="dxa" w:w="100"/>
              <w:left w:type="dxa" w:w="120"/>
              <w:bottom w:type="dxa" w:w="100"/>
              <w:right w:type="dxa" w:w="120"/>
            </w:tcMar>
          </w:tcPr>
          <w:p>
            <w:r>
              <w:rPr>
                <w:b w:val="false"/>
                <w:bCs w:val="false"/>
                <w:color w:val="222222"/>
                <w:sz w:val="20"/>
                <w:szCs w:val="20"/>
              </w:rPr>
              <w:t xml:space="preserve">Class imbalance between disease-positive and disease-negative cases</w:t>
            </w:r>
          </w:p>
        </w:tc>
        <w:tc>
          <w:tcPr>
            <w:tcW w:type="dxa" w:w="5400"/>
            <w:tcMar>
              <w:top w:type="dxa" w:w="100"/>
              <w:left w:type="dxa" w:w="120"/>
              <w:bottom w:type="dxa" w:w="100"/>
              <w:right w:type="dxa" w:w="120"/>
            </w:tcMar>
          </w:tcPr>
          <w:p>
            <w:r>
              <w:rPr>
                <w:b w:val="false"/>
                <w:bCs w:val="false"/>
                <w:color w:val="222222"/>
                <w:sz w:val="20"/>
                <w:szCs w:val="20"/>
              </w:rPr>
              <w:t xml:space="preserve">Use stratified train/test splits and evaluate with precision, recall, and F1 in addition to accuracy.</w:t>
            </w:r>
          </w:p>
        </w:tc>
      </w:tr>
      <w:tr>
        <w:tc>
          <w:tcPr>
            <w:tcW w:type="dxa" w:w="3600"/>
            <w:tcMar>
              <w:top w:type="dxa" w:w="100"/>
              <w:left w:type="dxa" w:w="120"/>
              <w:bottom w:type="dxa" w:w="100"/>
              <w:right w:type="dxa" w:w="120"/>
            </w:tcMar>
          </w:tcPr>
          <w:p>
            <w:r>
              <w:rPr>
                <w:b w:val="false"/>
                <w:bCs w:val="false"/>
                <w:color w:val="222222"/>
                <w:sz w:val="20"/>
                <w:szCs w:val="20"/>
              </w:rPr>
              <w:t xml:space="preserve">Missing or inconsistently coded values in the raw dataset</w:t>
            </w:r>
          </w:p>
        </w:tc>
        <w:tc>
          <w:tcPr>
            <w:tcW w:type="dxa" w:w="5400"/>
            <w:tcMar>
              <w:top w:type="dxa" w:w="100"/>
              <w:left w:type="dxa" w:w="120"/>
              <w:bottom w:type="dxa" w:w="100"/>
              <w:right w:type="dxa" w:w="120"/>
            </w:tcMar>
          </w:tcPr>
          <w:p>
            <w:r>
              <w:rPr>
                <w:b w:val="false"/>
                <w:bCs w:val="false"/>
                <w:color w:val="222222"/>
                <w:sz w:val="20"/>
                <w:szCs w:val="20"/>
              </w:rPr>
              <w:t xml:space="preserve">Detailed cleaning plan (Week 2) using pandas profiling and documented imputation rules.</w:t>
            </w:r>
          </w:p>
        </w:tc>
      </w:tr>
      <w:tr>
        <w:tc>
          <w:tcPr>
            <w:tcW w:type="dxa" w:w="3600"/>
            <w:tcMar>
              <w:top w:type="dxa" w:w="100"/>
              <w:left w:type="dxa" w:w="120"/>
              <w:bottom w:type="dxa" w:w="100"/>
              <w:right w:type="dxa" w:w="120"/>
            </w:tcMar>
          </w:tcPr>
          <w:p>
            <w:r>
              <w:rPr>
                <w:b w:val="false"/>
                <w:bCs w:val="false"/>
                <w:color w:val="222222"/>
                <w:sz w:val="20"/>
                <w:szCs w:val="20"/>
              </w:rPr>
              <w:t xml:space="preserve">Risk of overfitting on a relatively small dataset</w:t>
            </w:r>
          </w:p>
        </w:tc>
        <w:tc>
          <w:tcPr>
            <w:tcW w:type="dxa" w:w="5400"/>
            <w:tcMar>
              <w:top w:type="dxa" w:w="100"/>
              <w:left w:type="dxa" w:w="120"/>
              <w:bottom w:type="dxa" w:w="100"/>
              <w:right w:type="dxa" w:w="120"/>
            </w:tcMar>
          </w:tcPr>
          <w:p>
            <w:r>
              <w:rPr>
                <w:b w:val="false"/>
                <w:bCs w:val="false"/>
                <w:color w:val="222222"/>
                <w:sz w:val="20"/>
                <w:szCs w:val="20"/>
              </w:rPr>
              <w:t xml:space="preserve">Apply k-fold cross-validation and compare simple vs. complex models rather than defaulting to the most complex one.</w:t>
            </w:r>
          </w:p>
        </w:tc>
      </w:tr>
      <w:tr>
        <w:tc>
          <w:tcPr>
            <w:tcW w:type="dxa" w:w="3600"/>
            <w:tcMar>
              <w:top w:type="dxa" w:w="100"/>
              <w:left w:type="dxa" w:w="120"/>
              <w:bottom w:type="dxa" w:w="100"/>
              <w:right w:type="dxa" w:w="120"/>
            </w:tcMar>
          </w:tcPr>
          <w:p>
            <w:r>
              <w:rPr>
                <w:b w:val="false"/>
                <w:bCs w:val="false"/>
                <w:color w:val="222222"/>
                <w:sz w:val="20"/>
                <w:szCs w:val="20"/>
              </w:rPr>
              <w:t xml:space="preserve">Interpreting model output responsibly</w:t>
            </w:r>
          </w:p>
        </w:tc>
        <w:tc>
          <w:tcPr>
            <w:tcW w:type="dxa" w:w="5400"/>
            <w:tcMar>
              <w:top w:type="dxa" w:w="100"/>
              <w:left w:type="dxa" w:w="120"/>
              <w:bottom w:type="dxa" w:w="100"/>
              <w:right w:type="dxa" w:w="120"/>
            </w:tcMar>
          </w:tcPr>
          <w:p>
            <w:r>
              <w:rPr>
                <w:b w:val="false"/>
                <w:bCs w:val="false"/>
                <w:color w:val="222222"/>
                <w:sz w:val="20"/>
                <w:szCs w:val="20"/>
              </w:rPr>
              <w:t xml:space="preserve">Frame all outputs as risk indicators for a learning project, not medical diagnoses, and document this limitation clearly in the final report.</w:t>
            </w:r>
          </w:p>
        </w:tc>
      </w:tr>
    </w:tbl>
    <w:p>
      <w:pPr>
        <w:pStyle w:val="Heading1"/>
        <w:spacing w:after="160" w:before="320"/>
      </w:pPr>
      <w:r>
        <w:rPr>
          <w:b/>
          <w:bCs/>
          <w:color w:val="1F4E79"/>
        </w:rPr>
        <w:t xml:space="preserve">9. Timeline and Checkpoints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c>
          <w:tcPr>
            <w:tcW w:type="dxa" w:w="1600"/>
            <w:shd w:fill="DDEBF7" w:val="clear"/>
            <w:tcMar>
              <w:top w:type="dxa" w:w="100"/>
              <w:left w:type="dxa" w:w="120"/>
              <w:bottom w:type="dxa" w:w="100"/>
              <w:right w:type="dxa" w:w="120"/>
            </w:tcMar>
          </w:tcPr>
          <w:p>
            <w:r>
              <w:rPr>
                <w:b/>
                <w:bCs/>
                <w:color w:val="1F4E79"/>
                <w:sz w:val="20"/>
                <w:szCs w:val="20"/>
              </w:rPr>
              <w:t xml:space="preserve">Week</w:t>
            </w:r>
          </w:p>
        </w:tc>
        <w:tc>
          <w:tcPr>
            <w:tcW w:type="dxa" w:w="3600"/>
            <w:shd w:fill="DDEBF7" w:val="clear"/>
            <w:tcMar>
              <w:top w:type="dxa" w:w="100"/>
              <w:left w:type="dxa" w:w="120"/>
              <w:bottom w:type="dxa" w:w="100"/>
              <w:right w:type="dxa" w:w="120"/>
            </w:tcMar>
          </w:tcPr>
          <w:p>
            <w:r>
              <w:rPr>
                <w:b/>
                <w:bCs/>
                <w:color w:val="1F4E79"/>
                <w:sz w:val="20"/>
                <w:szCs w:val="20"/>
              </w:rPr>
              <w:t xml:space="preserve">Focus</w:t>
            </w:r>
          </w:p>
        </w:tc>
        <w:tc>
          <w:tcPr>
            <w:tcW w:type="dxa" w:w="3800"/>
            <w:shd w:fill="DDEBF7" w:val="clear"/>
            <w:tcMar>
              <w:top w:type="dxa" w:w="100"/>
              <w:left w:type="dxa" w:w="120"/>
              <w:bottom w:type="dxa" w:w="100"/>
              <w:right w:type="dxa" w:w="120"/>
            </w:tcMar>
          </w:tcPr>
          <w:p>
            <w:r>
              <w:rPr>
                <w:b/>
                <w:bCs/>
                <w:color w:val="1F4E79"/>
                <w:sz w:val="20"/>
                <w:szCs w:val="20"/>
              </w:rPr>
              <w:t xml:space="preserve">Checkpoint / Deliverable</w:t>
            </w:r>
          </w:p>
        </w:tc>
      </w:tr>
      <w:tr>
        <w:tc>
          <w:tcPr>
            <w:tcW w:type="dxa" w:w="1600"/>
            <w:tcMar>
              <w:top w:type="dxa" w:w="100"/>
              <w:left w:type="dxa" w:w="120"/>
              <w:bottom w:type="dxa" w:w="100"/>
              <w:right w:type="dxa" w:w="120"/>
            </w:tcMar>
          </w:tcPr>
          <w:p>
            <w:r>
              <w:rPr>
                <w:b w:val="false"/>
                <w:bCs w:val="false"/>
                <w:color w:val="222222"/>
                <w:sz w:val="20"/>
                <w:szCs w:val="20"/>
              </w:rPr>
              <w:t xml:space="preserve">Week 1</w:t>
            </w:r>
          </w:p>
        </w:tc>
        <w:tc>
          <w:tcPr>
            <w:tcW w:type="dxa" w:w="3600"/>
            <w:tcMar>
              <w:top w:type="dxa" w:w="100"/>
              <w:left w:type="dxa" w:w="120"/>
              <w:bottom w:type="dxa" w:w="100"/>
              <w:right w:type="dxa" w:w="120"/>
            </w:tcMar>
          </w:tcPr>
          <w:p>
            <w:r>
              <w:rPr>
                <w:b w:val="false"/>
                <w:bCs w:val="false"/>
                <w:color w:val="222222"/>
                <w:sz w:val="20"/>
                <w:szCs w:val="20"/>
              </w:rPr>
              <w:t xml:space="preserve">Planning &amp; dataset scoping</w:t>
            </w:r>
          </w:p>
        </w:tc>
        <w:tc>
          <w:tcPr>
            <w:tcW w:type="dxa" w:w="3800"/>
            <w:tcMar>
              <w:top w:type="dxa" w:w="100"/>
              <w:left w:type="dxa" w:w="120"/>
              <w:bottom w:type="dxa" w:w="100"/>
              <w:right w:type="dxa" w:w="120"/>
            </w:tcMar>
          </w:tcPr>
          <w:p>
            <w:r>
              <w:rPr>
                <w:b w:val="false"/>
                <w:bCs w:val="false"/>
                <w:color w:val="222222"/>
                <w:sz w:val="20"/>
                <w:szCs w:val="20"/>
              </w:rPr>
              <w:t xml:space="preserve">Approved project proposal (this document)</w:t>
            </w:r>
          </w:p>
        </w:tc>
      </w:tr>
      <w:tr>
        <w:tc>
          <w:tcPr>
            <w:tcW w:type="dxa" w:w="1600"/>
            <w:tcMar>
              <w:top w:type="dxa" w:w="100"/>
              <w:left w:type="dxa" w:w="120"/>
              <w:bottom w:type="dxa" w:w="100"/>
              <w:right w:type="dxa" w:w="120"/>
            </w:tcMar>
          </w:tcPr>
          <w:p>
            <w:r>
              <w:rPr>
                <w:b w:val="false"/>
                <w:bCs w:val="false"/>
                <w:color w:val="222222"/>
                <w:sz w:val="20"/>
                <w:szCs w:val="20"/>
              </w:rPr>
              <w:t xml:space="preserve">Week 2</w:t>
            </w:r>
          </w:p>
        </w:tc>
        <w:tc>
          <w:tcPr>
            <w:tcW w:type="dxa" w:w="3600"/>
            <w:tcMar>
              <w:top w:type="dxa" w:w="100"/>
              <w:left w:type="dxa" w:w="120"/>
              <w:bottom w:type="dxa" w:w="100"/>
              <w:right w:type="dxa" w:w="120"/>
            </w:tcMar>
          </w:tcPr>
          <w:p>
            <w:r>
              <w:rPr>
                <w:b w:val="false"/>
                <w:bCs w:val="false"/>
                <w:color w:val="222222"/>
                <w:sz w:val="20"/>
                <w:szCs w:val="20"/>
              </w:rPr>
              <w:t xml:space="preserve">Data cleaning &amp; transformation</w:t>
            </w:r>
          </w:p>
        </w:tc>
        <w:tc>
          <w:tcPr>
            <w:tcW w:type="dxa" w:w="3800"/>
            <w:tcMar>
              <w:top w:type="dxa" w:w="100"/>
              <w:left w:type="dxa" w:w="120"/>
              <w:bottom w:type="dxa" w:w="100"/>
              <w:right w:type="dxa" w:w="120"/>
            </w:tcMar>
          </w:tcPr>
          <w:p>
            <w:r>
              <w:rPr>
                <w:b w:val="false"/>
                <w:bCs w:val="false"/>
                <w:color w:val="222222"/>
                <w:sz w:val="20"/>
                <w:szCs w:val="20"/>
              </w:rPr>
              <w:t xml:space="preserve">Cleaned, analysis-ready dataset with documented pipeline</w:t>
            </w:r>
          </w:p>
        </w:tc>
      </w:tr>
      <w:tr>
        <w:tc>
          <w:tcPr>
            <w:tcW w:type="dxa" w:w="1600"/>
            <w:tcMar>
              <w:top w:type="dxa" w:w="100"/>
              <w:left w:type="dxa" w:w="120"/>
              <w:bottom w:type="dxa" w:w="100"/>
              <w:right w:type="dxa" w:w="120"/>
            </w:tcMar>
          </w:tcPr>
          <w:p>
            <w:r>
              <w:rPr>
                <w:b w:val="false"/>
                <w:bCs w:val="false"/>
                <w:color w:val="222222"/>
                <w:sz w:val="20"/>
                <w:szCs w:val="20"/>
              </w:rPr>
              <w:t xml:space="preserve">Week 3</w:t>
            </w:r>
          </w:p>
        </w:tc>
        <w:tc>
          <w:tcPr>
            <w:tcW w:type="dxa" w:w="3600"/>
            <w:tcMar>
              <w:top w:type="dxa" w:w="100"/>
              <w:left w:type="dxa" w:w="120"/>
              <w:bottom w:type="dxa" w:w="100"/>
              <w:right w:type="dxa" w:w="120"/>
            </w:tcMar>
          </w:tcPr>
          <w:p>
            <w:r>
              <w:rPr>
                <w:b w:val="false"/>
                <w:bCs w:val="false"/>
                <w:color w:val="222222"/>
                <w:sz w:val="20"/>
                <w:szCs w:val="20"/>
              </w:rPr>
              <w:t xml:space="preserve">EDA &amp; visualization</w:t>
            </w:r>
          </w:p>
        </w:tc>
        <w:tc>
          <w:tcPr>
            <w:tcW w:type="dxa" w:w="3800"/>
            <w:tcMar>
              <w:top w:type="dxa" w:w="100"/>
              <w:left w:type="dxa" w:w="120"/>
              <w:bottom w:type="dxa" w:w="100"/>
              <w:right w:type="dxa" w:w="120"/>
            </w:tcMar>
          </w:tcPr>
          <w:p>
            <w:r>
              <w:rPr>
                <w:b w:val="false"/>
                <w:bCs w:val="false"/>
                <w:color w:val="222222"/>
                <w:sz w:val="20"/>
                <w:szCs w:val="20"/>
              </w:rPr>
              <w:t xml:space="preserve">Visualization report with key insights on feature-target relationships</w:t>
            </w:r>
          </w:p>
        </w:tc>
      </w:tr>
      <w:tr>
        <w:tc>
          <w:tcPr>
            <w:tcW w:type="dxa" w:w="1600"/>
            <w:tcMar>
              <w:top w:type="dxa" w:w="100"/>
              <w:left w:type="dxa" w:w="120"/>
              <w:bottom w:type="dxa" w:w="100"/>
              <w:right w:type="dxa" w:w="120"/>
            </w:tcMar>
          </w:tcPr>
          <w:p>
            <w:r>
              <w:rPr>
                <w:b w:val="false"/>
                <w:bCs w:val="false"/>
                <w:color w:val="222222"/>
                <w:sz w:val="20"/>
                <w:szCs w:val="20"/>
              </w:rPr>
              <w:t xml:space="preserve">Week 4</w:t>
            </w:r>
          </w:p>
        </w:tc>
        <w:tc>
          <w:tcPr>
            <w:tcW w:type="dxa" w:w="3600"/>
            <w:tcMar>
              <w:top w:type="dxa" w:w="100"/>
              <w:left w:type="dxa" w:w="120"/>
              <w:bottom w:type="dxa" w:w="100"/>
              <w:right w:type="dxa" w:w="120"/>
            </w:tcMar>
          </w:tcPr>
          <w:p>
            <w:r>
              <w:rPr>
                <w:b w:val="false"/>
                <w:bCs w:val="false"/>
                <w:color w:val="222222"/>
                <w:sz w:val="20"/>
                <w:szCs w:val="20"/>
              </w:rPr>
              <w:t xml:space="preserve">Model selection &amp; evaluation</w:t>
            </w:r>
          </w:p>
        </w:tc>
        <w:tc>
          <w:tcPr>
            <w:tcW w:type="dxa" w:w="3800"/>
            <w:tcMar>
              <w:top w:type="dxa" w:w="100"/>
              <w:left w:type="dxa" w:w="120"/>
              <w:bottom w:type="dxa" w:w="100"/>
              <w:right w:type="dxa" w:w="120"/>
            </w:tcMar>
          </w:tcPr>
          <w:p>
            <w:r>
              <w:rPr>
                <w:b w:val="false"/>
                <w:bCs w:val="false"/>
                <w:color w:val="222222"/>
                <w:sz w:val="20"/>
                <w:szCs w:val="20"/>
              </w:rPr>
              <w:t xml:space="preserve">Trained models with comparative evaluation and final recommendation</w:t>
            </w:r>
          </w:p>
        </w:tc>
      </w:tr>
    </w:tbl>
    <w:p>
      <w:pPr>
        <w:pStyle w:val="Heading1"/>
        <w:spacing w:after="160" w:before="320"/>
      </w:pPr>
      <w:r>
        <w:rPr>
          <w:b/>
          <w:bCs/>
          <w:color w:val="1F4E79"/>
        </w:rPr>
        <w:t xml:space="preserve">10. Conclusion</w:t>
      </w:r>
    </w:p>
    <w:p>
      <w:pPr>
        <w:spacing w:after="160"/>
      </w:pPr>
      <w:r>
        <w:rPr>
          <w:sz w:val="22"/>
          <w:szCs w:val="22"/>
        </w:rPr>
        <w:t xml:space="preserve">This proposal establishes a clear, achievable scope for a Disease Prediction System project built entirely in Python around the UCI Heart Disease dataset. By committing to a structured four-week workflow — planning, cleaning, exploration, and modelling — the project is designed to produce a well-documented, defensible piece of analysis that demonstrates core data science skills while remaining realistic in scope for a virtual internship setting. Subsequent weekly submissions will build directly on the plan laid out here.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2026-09-02T06:06:47.680Z</dcterms:created>
  <dcterms:modified xsi:type="dcterms:W3CDTF">2026-09-02T06:06:47.694Z</dcterms:modified>
</cp:coreProperties>
</file>

<file path=docProps/custom.xml><?xml version="1.0" encoding="utf-8"?>
<Properties xmlns="http://schemas.openxmlformats.org/officeDocument/2006/custom-properties" xmlns:vt="http://schemas.openxmlformats.org/officeDocument/2006/docPropsVTypes"/>
</file>